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806B" w14:textId="27D5F3E6" w:rsidR="00CA12F2" w:rsidRDefault="00F86BEF" w:rsidP="00CA12F2">
      <w:r w:rsidRPr="00F86BEF">
        <w:t>Rozgraniczenie nieruchomości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198"/>
      </w:tblGrid>
      <w:tr w:rsidR="00CA12F2" w14:paraId="5D6A194C" w14:textId="77777777" w:rsidTr="00296949">
        <w:tc>
          <w:tcPr>
            <w:tcW w:w="2405" w:type="dxa"/>
          </w:tcPr>
          <w:p w14:paraId="130C372E" w14:textId="77777777" w:rsidR="00CA12F2" w:rsidRDefault="00CA12F2" w:rsidP="00296949">
            <w:r>
              <w:t>Opis usługi</w:t>
            </w:r>
          </w:p>
        </w:tc>
        <w:tc>
          <w:tcPr>
            <w:tcW w:w="11198" w:type="dxa"/>
          </w:tcPr>
          <w:p w14:paraId="56AD9CED" w14:textId="43C604FC" w:rsidR="00CA12F2" w:rsidRDefault="00CA12F2" w:rsidP="00296949">
            <w:r w:rsidRPr="00CA12F2">
              <w:t xml:space="preserve">Wydanie decyzji </w:t>
            </w:r>
            <w:r w:rsidR="000474D1">
              <w:t>o rozgraniczeniu</w:t>
            </w:r>
            <w:r w:rsidRPr="00CA12F2">
              <w:t xml:space="preserve"> nieruchomości</w:t>
            </w:r>
            <w:r>
              <w:t>.</w:t>
            </w:r>
          </w:p>
        </w:tc>
      </w:tr>
      <w:tr w:rsidR="00CA12F2" w14:paraId="15EF26DC" w14:textId="77777777" w:rsidTr="00296949">
        <w:tc>
          <w:tcPr>
            <w:tcW w:w="2405" w:type="dxa"/>
          </w:tcPr>
          <w:p w14:paraId="4A595359" w14:textId="77777777" w:rsidR="00CA12F2" w:rsidRPr="00144F1D" w:rsidRDefault="00CA12F2" w:rsidP="00296949">
            <w:r w:rsidRPr="00144F1D">
              <w:t>Kogo dotyczy</w:t>
            </w:r>
          </w:p>
        </w:tc>
        <w:tc>
          <w:tcPr>
            <w:tcW w:w="11198" w:type="dxa"/>
          </w:tcPr>
          <w:p w14:paraId="5FDF55E5" w14:textId="55FA7D1E" w:rsidR="00CA12F2" w:rsidRDefault="00CA12F2" w:rsidP="00296949">
            <w:r w:rsidRPr="00CA12F2">
              <w:t>Właściciela (współwłaścicieli), użytkownika wieczystego (współużytkownik</w:t>
            </w:r>
            <w:r>
              <w:t>ów</w:t>
            </w:r>
            <w:r w:rsidRPr="00CA12F2">
              <w:t xml:space="preserve"> </w:t>
            </w:r>
            <w:r>
              <w:t>wieczystych</w:t>
            </w:r>
            <w:r w:rsidRPr="00CA12F2">
              <w:t>) nieruchomości</w:t>
            </w:r>
            <w:r w:rsidR="00063A9D">
              <w:t xml:space="preserve"> </w:t>
            </w:r>
            <w:r w:rsidR="00063A9D" w:rsidRPr="00144F1D">
              <w:t>lub też pełnomocnika jednej z ww. osób (na podstawie okazanego pełnomocnictwa).</w:t>
            </w:r>
          </w:p>
        </w:tc>
      </w:tr>
      <w:tr w:rsidR="00CA12F2" w14:paraId="6C8EE058" w14:textId="77777777" w:rsidTr="00296949">
        <w:tc>
          <w:tcPr>
            <w:tcW w:w="2405" w:type="dxa"/>
          </w:tcPr>
          <w:p w14:paraId="12B27248" w14:textId="77777777" w:rsidR="00CA12F2" w:rsidRDefault="00CA12F2" w:rsidP="00296949">
            <w:r w:rsidRPr="00144F1D">
              <w:t>Wymagane dokumenty</w:t>
            </w:r>
          </w:p>
        </w:tc>
        <w:tc>
          <w:tcPr>
            <w:tcW w:w="11198" w:type="dxa"/>
          </w:tcPr>
          <w:p w14:paraId="62D6FC03" w14:textId="19D9E01B" w:rsidR="00CA12F2" w:rsidRDefault="004223AF" w:rsidP="00296949">
            <w:r w:rsidRPr="00CA12F2">
              <w:t xml:space="preserve">Wniosek </w:t>
            </w:r>
            <w:r w:rsidR="00F10191" w:rsidRPr="00F10191">
              <w:t xml:space="preserve">o wszczęcie postępowania </w:t>
            </w:r>
            <w:r w:rsidR="00F10191">
              <w:t>rozgraniczeniowego</w:t>
            </w:r>
            <w:r w:rsidR="00F10191" w:rsidRPr="00F10191">
              <w:t xml:space="preserve"> nieruchomości</w:t>
            </w:r>
            <w:r w:rsidR="00F10191">
              <w:t xml:space="preserve"> </w:t>
            </w:r>
            <w:r w:rsidRPr="00CA12F2">
              <w:t xml:space="preserve">podpisany przez w/w osoby </w:t>
            </w:r>
            <w:r w:rsidR="00F10191">
              <w:t>zawierający informację o granicach wnioskowanych do rozgraniczenia, np. w formie załącznika graficznego.</w:t>
            </w:r>
            <w:r w:rsidRPr="00CA12F2">
              <w:t xml:space="preserve"> </w:t>
            </w:r>
          </w:p>
        </w:tc>
      </w:tr>
      <w:tr w:rsidR="00CA12F2" w14:paraId="49214C31" w14:textId="77777777" w:rsidTr="00296949">
        <w:tc>
          <w:tcPr>
            <w:tcW w:w="2405" w:type="dxa"/>
          </w:tcPr>
          <w:p w14:paraId="40418754" w14:textId="77777777" w:rsidR="00CA12F2" w:rsidRDefault="00CA12F2" w:rsidP="00296949">
            <w:r w:rsidRPr="00144F1D">
              <w:t>Formularze/wnioski do pobrania</w:t>
            </w:r>
          </w:p>
        </w:tc>
        <w:tc>
          <w:tcPr>
            <w:tcW w:w="11198" w:type="dxa"/>
          </w:tcPr>
          <w:p w14:paraId="2CF188FE" w14:textId="1CBF2259" w:rsidR="00CA12F2" w:rsidRDefault="004223AF" w:rsidP="00296949">
            <w:r w:rsidRPr="004223AF">
              <w:t xml:space="preserve">Wniosek o </w:t>
            </w:r>
            <w:r w:rsidR="00F10191">
              <w:t>wszczęcie postępowania rozgraniczeniowego.</w:t>
            </w:r>
          </w:p>
        </w:tc>
      </w:tr>
      <w:tr w:rsidR="00CA12F2" w14:paraId="2C7550E1" w14:textId="77777777" w:rsidTr="00296949">
        <w:tc>
          <w:tcPr>
            <w:tcW w:w="2405" w:type="dxa"/>
          </w:tcPr>
          <w:p w14:paraId="1D74DE6D" w14:textId="77777777" w:rsidR="00CA12F2" w:rsidRDefault="00CA12F2" w:rsidP="00296949">
            <w:r w:rsidRPr="00144F1D">
              <w:t>Opłaty</w:t>
            </w:r>
          </w:p>
        </w:tc>
        <w:tc>
          <w:tcPr>
            <w:tcW w:w="11198" w:type="dxa"/>
          </w:tcPr>
          <w:p w14:paraId="7D58CBE1" w14:textId="26E570B6" w:rsidR="00CA12F2" w:rsidRDefault="00F10191" w:rsidP="00296949">
            <w:r>
              <w:t>Opłata skarbowa od wydania decyzji administracyjnej w wysokości 10,00 zł.</w:t>
            </w:r>
          </w:p>
          <w:p w14:paraId="269C568F" w14:textId="4CC2668F" w:rsidR="00AA7E34" w:rsidRDefault="00AA7E34" w:rsidP="00AA7E34">
            <w:r>
              <w:t>Pełnomocnik dołącza do akt dokument stwierdzający udzielenie pełnomocnictwa, który podlega opłacie skarbowej w wysokości 17,00 zł. Zwolnienie z opłaty skarbowej przysługuje, jeżeli pełnomocnictwo udzielone jest małżonkowi, wstępnemu (rodzic, dziadek), zstępnemu (dziecko, wnuk, prawnuk) lub rodzeństwu oraz pełnomocnictwo poświadczone notarialnie lub przez uprawniony organ.</w:t>
            </w:r>
          </w:p>
          <w:p w14:paraId="6B8B1651" w14:textId="77777777" w:rsidR="00132775" w:rsidRDefault="00AA7E34" w:rsidP="00132775">
            <w:r>
              <w:t>Opłatę uiszcza się gotówką w kasie Urzędu Miasta Zakopane (parter) lub bezgotówkowo na rachunek Urzędu Miasta Zakopane z chwilą złożenia wniosku.</w:t>
            </w:r>
            <w:r w:rsidR="00132775">
              <w:t xml:space="preserve"> Dowód wniesienia opłaty należy dołączyć do wniosku.</w:t>
            </w:r>
          </w:p>
          <w:p w14:paraId="5EA9A03E" w14:textId="76EBBD19" w:rsidR="00063A9D" w:rsidRDefault="00AA7E34" w:rsidP="00AA7E34">
            <w:r>
              <w:t xml:space="preserve">Numer rachunku: </w:t>
            </w:r>
            <w:r w:rsidRPr="00530BF5">
              <w:t>76 1240 4748 1111 0000 4882 8147</w:t>
            </w:r>
          </w:p>
        </w:tc>
      </w:tr>
      <w:tr w:rsidR="00CA12F2" w14:paraId="35AC9F1F" w14:textId="77777777" w:rsidTr="00296949">
        <w:tc>
          <w:tcPr>
            <w:tcW w:w="2405" w:type="dxa"/>
          </w:tcPr>
          <w:p w14:paraId="2BAC7FDC" w14:textId="77777777" w:rsidR="00CA12F2" w:rsidRDefault="00CA12F2" w:rsidP="00296949">
            <w:r w:rsidRPr="00144F1D">
              <w:t>Jednostka/osoba odpowiedzialna</w:t>
            </w:r>
          </w:p>
        </w:tc>
        <w:tc>
          <w:tcPr>
            <w:tcW w:w="11198" w:type="dxa"/>
          </w:tcPr>
          <w:p w14:paraId="13B1F6A3" w14:textId="77777777" w:rsidR="00CA12F2" w:rsidRDefault="00CA12F2" w:rsidP="00296949">
            <w:r>
              <w:t>Urząd Miasta Zakopane</w:t>
            </w:r>
          </w:p>
          <w:p w14:paraId="2D4F8B48" w14:textId="77777777" w:rsidR="00CA12F2" w:rsidRDefault="00CA12F2" w:rsidP="00296949">
            <w:r>
              <w:t>34-500 Zakopane, ul. Kościuszki 13</w:t>
            </w:r>
          </w:p>
          <w:p w14:paraId="5F9F083F" w14:textId="77777777" w:rsidR="00CA12F2" w:rsidRDefault="00CA12F2" w:rsidP="00296949">
            <w:r>
              <w:t>Wydział Mienia i Nadzoru Właścicielskiego</w:t>
            </w:r>
          </w:p>
          <w:p w14:paraId="443048AC" w14:textId="77777777" w:rsidR="00CA12F2" w:rsidRDefault="00CA12F2" w:rsidP="00296949">
            <w:r>
              <w:t xml:space="preserve">Podinspektor Anna Czernik Pok. </w:t>
            </w:r>
            <w:proofErr w:type="gramStart"/>
            <w:r>
              <w:t>225,</w:t>
            </w:r>
            <w:proofErr w:type="gramEnd"/>
            <w:r>
              <w:t xml:space="preserve"> I piętro</w:t>
            </w:r>
          </w:p>
          <w:p w14:paraId="68CCA6D0" w14:textId="77777777" w:rsidR="00CA12F2" w:rsidRPr="00CA12F2" w:rsidRDefault="00CA12F2" w:rsidP="00CA12F2">
            <w:pPr>
              <w:numPr>
                <w:ilvl w:val="0"/>
                <w:numId w:val="4"/>
              </w:numPr>
            </w:pPr>
            <w:r w:rsidRPr="00CA12F2">
              <w:t>Poniedziałek 10.00 - 16.00</w:t>
            </w:r>
          </w:p>
          <w:p w14:paraId="0E285654" w14:textId="77777777" w:rsidR="00CA12F2" w:rsidRPr="00CA12F2" w:rsidRDefault="00CA12F2" w:rsidP="00CA12F2">
            <w:pPr>
              <w:numPr>
                <w:ilvl w:val="0"/>
                <w:numId w:val="4"/>
              </w:numPr>
            </w:pPr>
            <w:r w:rsidRPr="00CA12F2">
              <w:t>Wtorek 9.00 - 14.00</w:t>
            </w:r>
          </w:p>
          <w:p w14:paraId="3C84830C" w14:textId="77777777" w:rsidR="00CA12F2" w:rsidRPr="00CA12F2" w:rsidRDefault="00CA12F2" w:rsidP="00CA12F2">
            <w:pPr>
              <w:numPr>
                <w:ilvl w:val="0"/>
                <w:numId w:val="4"/>
              </w:numPr>
            </w:pPr>
            <w:r w:rsidRPr="00CA12F2">
              <w:t>Środa 9.00 - 12.00</w:t>
            </w:r>
          </w:p>
          <w:p w14:paraId="42A4357B" w14:textId="77777777" w:rsidR="00CA12F2" w:rsidRPr="00CA12F2" w:rsidRDefault="00CA12F2" w:rsidP="00CA12F2">
            <w:pPr>
              <w:numPr>
                <w:ilvl w:val="0"/>
                <w:numId w:val="4"/>
              </w:numPr>
            </w:pPr>
            <w:r w:rsidRPr="00CA12F2">
              <w:t>Czwartek 9.00 - 14.00</w:t>
            </w:r>
          </w:p>
          <w:p w14:paraId="730C307A" w14:textId="55C0387F" w:rsidR="00CA12F2" w:rsidRDefault="00CA12F2" w:rsidP="00296949">
            <w:pPr>
              <w:numPr>
                <w:ilvl w:val="0"/>
                <w:numId w:val="4"/>
              </w:numPr>
            </w:pPr>
            <w:r w:rsidRPr="00CA12F2">
              <w:t>Piątek 9.00 - 14.00</w:t>
            </w:r>
          </w:p>
        </w:tc>
      </w:tr>
      <w:tr w:rsidR="00CA12F2" w14:paraId="776E97C6" w14:textId="77777777" w:rsidTr="00296949">
        <w:tc>
          <w:tcPr>
            <w:tcW w:w="2405" w:type="dxa"/>
          </w:tcPr>
          <w:p w14:paraId="3A614A32" w14:textId="77777777" w:rsidR="00CA12F2" w:rsidRDefault="00CA12F2" w:rsidP="00296949">
            <w:r w:rsidRPr="00144F1D">
              <w:t>Miejsce składania dokumentów</w:t>
            </w:r>
          </w:p>
        </w:tc>
        <w:tc>
          <w:tcPr>
            <w:tcW w:w="11198" w:type="dxa"/>
          </w:tcPr>
          <w:p w14:paraId="41682326" w14:textId="77777777" w:rsidR="00CA12F2" w:rsidRDefault="00CA12F2" w:rsidP="00CA12F2">
            <w:pPr>
              <w:pStyle w:val="Akapitzlist"/>
              <w:numPr>
                <w:ilvl w:val="0"/>
                <w:numId w:val="3"/>
              </w:numPr>
            </w:pPr>
            <w:r>
              <w:t>Dziennik podawczy Urzędu Miasta Zakopane, ul. Kościuszki 13, parter</w:t>
            </w:r>
          </w:p>
          <w:p w14:paraId="5319517B" w14:textId="77777777" w:rsidR="00CA12F2" w:rsidRDefault="00CA12F2" w:rsidP="00CA12F2">
            <w:pPr>
              <w:pStyle w:val="Akapitzlist"/>
              <w:numPr>
                <w:ilvl w:val="0"/>
                <w:numId w:val="3"/>
              </w:numPr>
            </w:pPr>
            <w:r>
              <w:t xml:space="preserve">Skrytka </w:t>
            </w:r>
            <w:proofErr w:type="spellStart"/>
            <w:r>
              <w:t>ePUAP</w:t>
            </w:r>
            <w:proofErr w:type="spellEnd"/>
            <w:r>
              <w:t xml:space="preserve">: </w:t>
            </w:r>
            <w:r w:rsidRPr="00E0526E">
              <w:rPr>
                <w:b/>
                <w:bCs/>
              </w:rPr>
              <w:t>/</w:t>
            </w:r>
            <w:proofErr w:type="spellStart"/>
            <w:r w:rsidRPr="00E0526E">
              <w:rPr>
                <w:b/>
                <w:bCs/>
              </w:rPr>
              <w:t>umzakopane</w:t>
            </w:r>
            <w:proofErr w:type="spellEnd"/>
            <w:r w:rsidRPr="00E0526E">
              <w:rPr>
                <w:b/>
                <w:bCs/>
              </w:rPr>
              <w:t>/</w:t>
            </w:r>
            <w:proofErr w:type="spellStart"/>
            <w:r w:rsidRPr="00E0526E">
              <w:rPr>
                <w:b/>
                <w:bCs/>
              </w:rPr>
              <w:t>SkrytkaESP</w:t>
            </w:r>
            <w:proofErr w:type="spellEnd"/>
            <w:r w:rsidRPr="00E0526E">
              <w:t xml:space="preserve"> </w:t>
            </w:r>
          </w:p>
          <w:p w14:paraId="0D57AC03" w14:textId="77777777" w:rsidR="00CA12F2" w:rsidRDefault="00CA12F2" w:rsidP="00CA12F2">
            <w:pPr>
              <w:pStyle w:val="Akapitzlist"/>
              <w:numPr>
                <w:ilvl w:val="0"/>
                <w:numId w:val="3"/>
              </w:numPr>
            </w:pPr>
            <w:r w:rsidRPr="0006092C">
              <w:t>E-Doręczenia</w:t>
            </w:r>
            <w:r>
              <w:t xml:space="preserve">: </w:t>
            </w:r>
            <w:r w:rsidRPr="0006092C">
              <w:rPr>
                <w:b/>
                <w:bCs/>
              </w:rPr>
              <w:t>AE:PL-97057-85350-DHVSG-20</w:t>
            </w:r>
          </w:p>
        </w:tc>
      </w:tr>
      <w:tr w:rsidR="00CA12F2" w14:paraId="08F352FB" w14:textId="77777777" w:rsidTr="00296949">
        <w:tc>
          <w:tcPr>
            <w:tcW w:w="2405" w:type="dxa"/>
          </w:tcPr>
          <w:p w14:paraId="68C178F8" w14:textId="77777777" w:rsidR="00CA12F2" w:rsidRDefault="00CA12F2" w:rsidP="00296949">
            <w:r w:rsidRPr="00144F1D">
              <w:t>Złożenie wniosku elektronicznie</w:t>
            </w:r>
          </w:p>
        </w:tc>
        <w:tc>
          <w:tcPr>
            <w:tcW w:w="11198" w:type="dxa"/>
          </w:tcPr>
          <w:p w14:paraId="614AAD9D" w14:textId="77777777" w:rsidR="00CA12F2" w:rsidRDefault="00CA12F2" w:rsidP="00296949">
            <w:r>
              <w:t>Tak</w:t>
            </w:r>
          </w:p>
        </w:tc>
      </w:tr>
      <w:tr w:rsidR="00CA12F2" w14:paraId="0CA150E8" w14:textId="77777777" w:rsidTr="00296949">
        <w:tc>
          <w:tcPr>
            <w:tcW w:w="2405" w:type="dxa"/>
          </w:tcPr>
          <w:p w14:paraId="79C30CB8" w14:textId="77777777" w:rsidR="00CA12F2" w:rsidRDefault="00CA12F2" w:rsidP="00296949">
            <w:r w:rsidRPr="00144F1D">
              <w:t>Termin załatwienia sprawy</w:t>
            </w:r>
          </w:p>
        </w:tc>
        <w:tc>
          <w:tcPr>
            <w:tcW w:w="11198" w:type="dxa"/>
          </w:tcPr>
          <w:p w14:paraId="4ACBEF1F" w14:textId="0CDB03D7" w:rsidR="00CA12F2" w:rsidRDefault="00F10191" w:rsidP="00296949">
            <w:r w:rsidRPr="00F10191">
              <w:t xml:space="preserve">Do 2 miesięcy od daty otrzymania dokumentacji z rozgraniczenia oraz potwierdzenia przyjęcia operatu technicznego do Państwowego Zasobu Geodezyjnego i Kartograficznego </w:t>
            </w:r>
            <w:proofErr w:type="gramStart"/>
            <w:r w:rsidRPr="00F10191">
              <w:t>w  Zakopanem</w:t>
            </w:r>
            <w:proofErr w:type="gramEnd"/>
            <w:r w:rsidRPr="00F10191">
              <w:t>.</w:t>
            </w:r>
            <w:r>
              <w:t xml:space="preserve"> </w:t>
            </w:r>
            <w:r w:rsidR="00CA12F2" w:rsidRPr="00CA12F2">
              <w:t xml:space="preserve">Do terminu nie wlicza się terminów przewidzianych </w:t>
            </w:r>
            <w:r w:rsidR="00CA12F2" w:rsidRPr="00CA12F2">
              <w:lastRenderedPageBreak/>
              <w:t>w przepisach prawa dla dokonania określonych czynności, okresów zawieszenia postępowania oraz okresów opóźnień spowodowanych z winy strony albo z przyczyn niezależnych od organu.</w:t>
            </w:r>
          </w:p>
        </w:tc>
      </w:tr>
      <w:tr w:rsidR="00CA12F2" w14:paraId="6847E092" w14:textId="77777777" w:rsidTr="00296949">
        <w:tc>
          <w:tcPr>
            <w:tcW w:w="2405" w:type="dxa"/>
          </w:tcPr>
          <w:p w14:paraId="23A98330" w14:textId="77777777" w:rsidR="00CA12F2" w:rsidRDefault="00CA12F2" w:rsidP="00296949">
            <w:r w:rsidRPr="00144F1D">
              <w:lastRenderedPageBreak/>
              <w:t>Podstawa prawna</w:t>
            </w:r>
          </w:p>
        </w:tc>
        <w:tc>
          <w:tcPr>
            <w:tcW w:w="11198" w:type="dxa"/>
          </w:tcPr>
          <w:p w14:paraId="324E21B0" w14:textId="108537B9" w:rsidR="00ED6B56" w:rsidRDefault="00574743" w:rsidP="002A17B8">
            <w:pPr>
              <w:numPr>
                <w:ilvl w:val="0"/>
                <w:numId w:val="1"/>
              </w:numPr>
            </w:pPr>
            <w:r>
              <w:t>U</w:t>
            </w:r>
            <w:r w:rsidRPr="00574743">
              <w:t>stawy z dnia 17 maja 1989 r. – Prawo geodezyjne i kartograficzne (</w:t>
            </w:r>
            <w:r w:rsidR="00306DCA">
              <w:t>j.t.</w:t>
            </w:r>
            <w:r w:rsidRPr="00574743">
              <w:t> Dz.U. z 202</w:t>
            </w:r>
            <w:r w:rsidR="00306DCA">
              <w:t>4</w:t>
            </w:r>
            <w:r w:rsidRPr="00574743">
              <w:t xml:space="preserve"> poz. </w:t>
            </w:r>
            <w:r w:rsidR="00306DCA">
              <w:t>1151</w:t>
            </w:r>
            <w:r w:rsidRPr="00574743">
              <w:t xml:space="preserve"> ze zm.)</w:t>
            </w:r>
            <w:r w:rsidR="00626F97">
              <w:t>.</w:t>
            </w:r>
          </w:p>
          <w:p w14:paraId="0F36B8F3" w14:textId="4C45BA30" w:rsidR="00306DCA" w:rsidRDefault="00306DCA" w:rsidP="002A17B8">
            <w:pPr>
              <w:numPr>
                <w:ilvl w:val="0"/>
                <w:numId w:val="1"/>
              </w:numPr>
            </w:pPr>
            <w:r w:rsidRPr="00306DCA">
              <w:t>Rozporządzenie Ministrów Spraw Wewnętrznych i Administracji oraz Rolnictwa i Gospodarki Żywnościowej z dnia 14 kwietnia 1999 r. w sprawie rozgraniczania nieruchomości Dz. U. z 1999</w:t>
            </w:r>
            <w:r>
              <w:t xml:space="preserve"> Nr </w:t>
            </w:r>
            <w:r w:rsidRPr="00306DCA">
              <w:t>45</w:t>
            </w:r>
            <w:r>
              <w:t xml:space="preserve"> poz. </w:t>
            </w:r>
            <w:r w:rsidRPr="00306DCA">
              <w:t>453)</w:t>
            </w:r>
            <w:r>
              <w:t>.</w:t>
            </w:r>
          </w:p>
          <w:p w14:paraId="391A970A" w14:textId="5317617F" w:rsidR="00CA12F2" w:rsidRPr="000B246E" w:rsidRDefault="00CA12F2" w:rsidP="00CA12F2">
            <w:pPr>
              <w:numPr>
                <w:ilvl w:val="0"/>
                <w:numId w:val="1"/>
              </w:numPr>
            </w:pPr>
            <w:r w:rsidRPr="000B246E">
              <w:t>Ustawa z dnia 14 czerwca 1960 r. Kodeks postępowania administracyjnego (Dz. U. z 2024 r., poz. 572</w:t>
            </w:r>
            <w:r>
              <w:t xml:space="preserve"> z </w:t>
            </w:r>
            <w:proofErr w:type="spellStart"/>
            <w:r>
              <w:t>późn</w:t>
            </w:r>
            <w:proofErr w:type="spellEnd"/>
            <w:r>
              <w:t xml:space="preserve">. </w:t>
            </w:r>
            <w:proofErr w:type="spellStart"/>
            <w:r>
              <w:t>zm</w:t>
            </w:r>
            <w:proofErr w:type="spellEnd"/>
            <w:r w:rsidRPr="000B246E">
              <w:t>)</w:t>
            </w:r>
            <w:r w:rsidR="00626F97">
              <w:t>.</w:t>
            </w:r>
          </w:p>
          <w:p w14:paraId="2E435606" w14:textId="63CCC704" w:rsidR="00CA12F2" w:rsidRDefault="00CA12F2" w:rsidP="002A17B8">
            <w:pPr>
              <w:numPr>
                <w:ilvl w:val="0"/>
                <w:numId w:val="1"/>
              </w:numPr>
            </w:pPr>
            <w:r w:rsidRPr="000B246E">
              <w:t>Ustawa z dnia 16 listopada 2006 r. o opłacie skarbowej (</w:t>
            </w:r>
            <w:r w:rsidR="00421391">
              <w:t xml:space="preserve">j. t. </w:t>
            </w:r>
            <w:r w:rsidRPr="000B246E">
              <w:t>Dz.U. z 20</w:t>
            </w:r>
            <w:r w:rsidR="00421391">
              <w:t>25</w:t>
            </w:r>
            <w:r w:rsidRPr="000B246E">
              <w:t xml:space="preserve"> r., poz. </w:t>
            </w:r>
            <w:r w:rsidR="00421391">
              <w:t>1154</w:t>
            </w:r>
            <w:r w:rsidRPr="000B246E">
              <w:t>).</w:t>
            </w:r>
          </w:p>
        </w:tc>
      </w:tr>
      <w:tr w:rsidR="00CA12F2" w14:paraId="2800FA03" w14:textId="77777777" w:rsidTr="00296949">
        <w:tc>
          <w:tcPr>
            <w:tcW w:w="2405" w:type="dxa"/>
          </w:tcPr>
          <w:p w14:paraId="287F2A51" w14:textId="77777777" w:rsidR="00CA12F2" w:rsidRDefault="00CA12F2" w:rsidP="00296949">
            <w:r w:rsidRPr="00144F1D">
              <w:t>Tryb odwoławczy</w:t>
            </w:r>
          </w:p>
        </w:tc>
        <w:tc>
          <w:tcPr>
            <w:tcW w:w="11198" w:type="dxa"/>
          </w:tcPr>
          <w:p w14:paraId="1E385C2E" w14:textId="79EF4B8F" w:rsidR="00626F97" w:rsidRDefault="00626F97" w:rsidP="00626F97">
            <w:pPr>
              <w:pStyle w:val="Akapitzlist"/>
              <w:numPr>
                <w:ilvl w:val="0"/>
                <w:numId w:val="6"/>
              </w:numPr>
            </w:pPr>
            <w:r>
              <w:t xml:space="preserve">Od decyzji o rozgraniczeniu służy prawo żądania przekazania sprawy do sądu składane za pośrednictwem </w:t>
            </w:r>
            <w:r w:rsidR="00BA1A6E">
              <w:t>Burmistrza Miasta Zakopane</w:t>
            </w:r>
            <w:r>
              <w:t xml:space="preserve"> w terminie 14 dni od jej doręczenia.</w:t>
            </w:r>
          </w:p>
          <w:p w14:paraId="318720C5" w14:textId="22004D0D" w:rsidR="00CA12F2" w:rsidRDefault="00626F97" w:rsidP="00626F97">
            <w:pPr>
              <w:pStyle w:val="Akapitzlist"/>
              <w:numPr>
                <w:ilvl w:val="0"/>
                <w:numId w:val="6"/>
              </w:numPr>
            </w:pPr>
            <w:r>
              <w:t>Od decyzji o umorzeniu postępowania rozgraniczeniowego służy prawo odwołania do Samorządowego Kolegium Odwoławczego w Nowym Sączu składane za pośrednictwem Burmistrza Miasta Zakopane w terminie 14 dni od jej doręczenia.</w:t>
            </w:r>
          </w:p>
        </w:tc>
      </w:tr>
      <w:tr w:rsidR="003201BB" w14:paraId="56A26E48" w14:textId="77777777" w:rsidTr="00296949">
        <w:tc>
          <w:tcPr>
            <w:tcW w:w="2405" w:type="dxa"/>
          </w:tcPr>
          <w:p w14:paraId="488413C4" w14:textId="77777777" w:rsidR="003201BB" w:rsidRPr="00144F1D" w:rsidRDefault="003201BB" w:rsidP="003201BB">
            <w:r w:rsidRPr="00144F1D">
              <w:t>Uwagi i dodatkowe informacje</w:t>
            </w:r>
          </w:p>
        </w:tc>
        <w:tc>
          <w:tcPr>
            <w:tcW w:w="11198" w:type="dxa"/>
          </w:tcPr>
          <w:p w14:paraId="63276CA7" w14:textId="0F05A9B4" w:rsidR="00BA1A6E" w:rsidRPr="00BA1A6E" w:rsidRDefault="00BA1A6E" w:rsidP="00BA1A6E">
            <w:pPr>
              <w:pStyle w:val="Akapitzlist"/>
              <w:numPr>
                <w:ilvl w:val="0"/>
                <w:numId w:val="2"/>
              </w:numPr>
            </w:pPr>
            <w:r w:rsidRPr="00BA1A6E">
              <w:t xml:space="preserve">1. W przypadku </w:t>
            </w:r>
            <w:r w:rsidR="00AD745A">
              <w:t>braku</w:t>
            </w:r>
            <w:r w:rsidR="00AD745A" w:rsidRPr="00BA1A6E">
              <w:t xml:space="preserve"> jednoznacznych dokumentów wskazujących na przebieg linii granicznych </w:t>
            </w:r>
            <w:r w:rsidR="00AD745A">
              <w:t xml:space="preserve">oraz </w:t>
            </w:r>
            <w:r w:rsidRPr="00BA1A6E">
              <w:t>sporu co do ich przebieg</w:t>
            </w:r>
            <w:r w:rsidR="00AD745A">
              <w:t>u</w:t>
            </w:r>
            <w:r w:rsidRPr="00BA1A6E">
              <w:t xml:space="preserve">, </w:t>
            </w:r>
            <w:r w:rsidR="00AD745A">
              <w:t>gdy</w:t>
            </w:r>
            <w:r w:rsidRPr="00BA1A6E">
              <w:t xml:space="preserve"> zainteresowani właściciele nieruchomości nie złożyli zgodnego oświadczenia w tym zakresie bądź nie zawarli ugody, postępowanie administracyjne jest umarzane w drodze decyzji, a sprawa rozgraniczenia przekazywana z urzędu do rozpatrzenia właściwemu sądowi (Wydział Cywilny).</w:t>
            </w:r>
          </w:p>
          <w:p w14:paraId="45C5F706" w14:textId="13B51F7C" w:rsidR="003201BB" w:rsidRDefault="00BA1A6E" w:rsidP="00AD745A">
            <w:pPr>
              <w:pStyle w:val="Akapitzlist"/>
              <w:numPr>
                <w:ilvl w:val="0"/>
                <w:numId w:val="2"/>
              </w:numPr>
            </w:pPr>
            <w:r w:rsidRPr="00BA1A6E">
              <w:t xml:space="preserve">2. </w:t>
            </w:r>
            <w:r w:rsidR="00AD745A" w:rsidRPr="00BA1A6E">
              <w:t xml:space="preserve">W przypadku </w:t>
            </w:r>
            <w:r w:rsidR="00AD745A">
              <w:t>braku</w:t>
            </w:r>
            <w:r w:rsidR="00AD745A" w:rsidRPr="00BA1A6E">
              <w:t xml:space="preserve"> jednoznacznych dokumentów wskazujących na przebieg linii granicznych </w:t>
            </w:r>
            <w:r w:rsidR="00AD745A">
              <w:t xml:space="preserve">oraz </w:t>
            </w:r>
            <w:r w:rsidR="00AD745A" w:rsidRPr="00BA1A6E">
              <w:t>sporu co do ich przebieg</w:t>
            </w:r>
            <w:r w:rsidR="00AD745A">
              <w:t>u</w:t>
            </w:r>
            <w:r w:rsidRPr="00BA1A6E">
              <w:t xml:space="preserve">, </w:t>
            </w:r>
            <w:r w:rsidR="00AD745A">
              <w:t>gdy</w:t>
            </w:r>
            <w:r w:rsidRPr="00BA1A6E">
              <w:t xml:space="preserve"> zainteresowani właściciele nieruchomości zawarli ugodę przed geodetą wykonującym czynności ustalenia przebiegu granic, postępowanie administracyjne jest umarzane </w:t>
            </w:r>
            <w:r w:rsidR="00AD745A" w:rsidRPr="00BA1A6E">
              <w:t xml:space="preserve">w drodze decyzji </w:t>
            </w:r>
            <w:r w:rsidRPr="00BA1A6E">
              <w:t>z uwagi na bezprzedmiotowość (zażegnany spór graniczny).</w:t>
            </w:r>
          </w:p>
        </w:tc>
      </w:tr>
      <w:tr w:rsidR="003201BB" w14:paraId="67E7483A" w14:textId="77777777" w:rsidTr="00296949">
        <w:tc>
          <w:tcPr>
            <w:tcW w:w="2405" w:type="dxa"/>
          </w:tcPr>
          <w:p w14:paraId="306D967A" w14:textId="77777777" w:rsidR="003201BB" w:rsidRPr="00144F1D" w:rsidRDefault="003201BB" w:rsidP="003201BB"/>
        </w:tc>
        <w:tc>
          <w:tcPr>
            <w:tcW w:w="11198" w:type="dxa"/>
          </w:tcPr>
          <w:p w14:paraId="77328362" w14:textId="77777777" w:rsidR="003201BB" w:rsidRDefault="003201BB" w:rsidP="003201BB"/>
        </w:tc>
      </w:tr>
    </w:tbl>
    <w:p w14:paraId="2ECABC34" w14:textId="77777777" w:rsidR="00CA12F2" w:rsidRDefault="00CA12F2" w:rsidP="00CA12F2"/>
    <w:p w14:paraId="6FB9AD46" w14:textId="77777777" w:rsidR="006577F8" w:rsidRDefault="006577F8"/>
    <w:sectPr w:rsidR="006577F8" w:rsidSect="00CA1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0C14"/>
    <w:multiLevelType w:val="hybridMultilevel"/>
    <w:tmpl w:val="ABCE8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4DEC"/>
    <w:multiLevelType w:val="multilevel"/>
    <w:tmpl w:val="2F2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C7A8B"/>
    <w:multiLevelType w:val="hybridMultilevel"/>
    <w:tmpl w:val="9A9AA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F51BA"/>
    <w:multiLevelType w:val="hybridMultilevel"/>
    <w:tmpl w:val="691A7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43237"/>
    <w:multiLevelType w:val="multilevel"/>
    <w:tmpl w:val="6136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4A1FD8"/>
    <w:multiLevelType w:val="hybridMultilevel"/>
    <w:tmpl w:val="4A9E1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036590">
    <w:abstractNumId w:val="4"/>
  </w:num>
  <w:num w:numId="2" w16cid:durableId="391463731">
    <w:abstractNumId w:val="2"/>
  </w:num>
  <w:num w:numId="3" w16cid:durableId="1526334356">
    <w:abstractNumId w:val="5"/>
  </w:num>
  <w:num w:numId="4" w16cid:durableId="652687372">
    <w:abstractNumId w:val="1"/>
  </w:num>
  <w:num w:numId="5" w16cid:durableId="805514587">
    <w:abstractNumId w:val="3"/>
  </w:num>
  <w:num w:numId="6" w16cid:durableId="129567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F2"/>
    <w:rsid w:val="00037963"/>
    <w:rsid w:val="000474D1"/>
    <w:rsid w:val="00063A9D"/>
    <w:rsid w:val="00132775"/>
    <w:rsid w:val="00221838"/>
    <w:rsid w:val="0023063D"/>
    <w:rsid w:val="002A17B8"/>
    <w:rsid w:val="00306DCA"/>
    <w:rsid w:val="003201BB"/>
    <w:rsid w:val="003F0ED8"/>
    <w:rsid w:val="00421391"/>
    <w:rsid w:val="004223AF"/>
    <w:rsid w:val="00574743"/>
    <w:rsid w:val="00626F97"/>
    <w:rsid w:val="006577F8"/>
    <w:rsid w:val="0089264F"/>
    <w:rsid w:val="00962699"/>
    <w:rsid w:val="009B690A"/>
    <w:rsid w:val="00A47980"/>
    <w:rsid w:val="00A64C8B"/>
    <w:rsid w:val="00A64FC3"/>
    <w:rsid w:val="00AA7E34"/>
    <w:rsid w:val="00AD745A"/>
    <w:rsid w:val="00BA1A6E"/>
    <w:rsid w:val="00BC32FF"/>
    <w:rsid w:val="00C222F5"/>
    <w:rsid w:val="00CA12F2"/>
    <w:rsid w:val="00ED6B56"/>
    <w:rsid w:val="00F10191"/>
    <w:rsid w:val="00F86BEF"/>
    <w:rsid w:val="00F9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789F"/>
  <w15:chartTrackingRefBased/>
  <w15:docId w15:val="{B5E25917-CBC1-42FB-988D-35466B12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2F2"/>
  </w:style>
  <w:style w:type="paragraph" w:styleId="Nagwek1">
    <w:name w:val="heading 1"/>
    <w:basedOn w:val="Normalny"/>
    <w:next w:val="Normalny"/>
    <w:link w:val="Nagwek1Znak"/>
    <w:uiPriority w:val="9"/>
    <w:qFormat/>
    <w:rsid w:val="00CA1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2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2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2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2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2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2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1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2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2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12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2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2F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A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213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1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Moskwa</dc:creator>
  <cp:keywords/>
  <dc:description/>
  <cp:lastModifiedBy>Agnieszka Lassak</cp:lastModifiedBy>
  <cp:revision>2</cp:revision>
  <dcterms:created xsi:type="dcterms:W3CDTF">2025-11-18T12:29:00Z</dcterms:created>
  <dcterms:modified xsi:type="dcterms:W3CDTF">2025-11-18T12:29:00Z</dcterms:modified>
</cp:coreProperties>
</file>