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806B" w14:textId="4402DA98" w:rsidR="00CA12F2" w:rsidRDefault="00CA12F2" w:rsidP="00CA12F2">
      <w:r w:rsidRPr="00CA12F2">
        <w:t>Podziały Nieruchomości</w:t>
      </w:r>
    </w:p>
    <w:tbl>
      <w:tblPr>
        <w:tblStyle w:val="Tabela-Siatka"/>
        <w:tblW w:w="0" w:type="auto"/>
        <w:tblLook w:val="04A0" w:firstRow="1" w:lastRow="0" w:firstColumn="1" w:lastColumn="0" w:noHBand="0" w:noVBand="1"/>
      </w:tblPr>
      <w:tblGrid>
        <w:gridCol w:w="2405"/>
        <w:gridCol w:w="11198"/>
      </w:tblGrid>
      <w:tr w:rsidR="00CA12F2" w14:paraId="5D6A194C" w14:textId="77777777" w:rsidTr="00296949">
        <w:tc>
          <w:tcPr>
            <w:tcW w:w="2405" w:type="dxa"/>
          </w:tcPr>
          <w:p w14:paraId="130C372E" w14:textId="77777777" w:rsidR="00CA12F2" w:rsidRDefault="00CA12F2" w:rsidP="00296949">
            <w:r>
              <w:t>Opis usługi</w:t>
            </w:r>
          </w:p>
        </w:tc>
        <w:tc>
          <w:tcPr>
            <w:tcW w:w="11198" w:type="dxa"/>
          </w:tcPr>
          <w:p w14:paraId="56AD9CED" w14:textId="2A1B8E93" w:rsidR="00CA12F2" w:rsidRDefault="00CA12F2" w:rsidP="00296949">
            <w:r w:rsidRPr="00CA12F2">
              <w:t>Wydanie decyzji zatwierdzającej podział nieruchomości</w:t>
            </w:r>
            <w:r>
              <w:t>.</w:t>
            </w:r>
          </w:p>
        </w:tc>
      </w:tr>
      <w:tr w:rsidR="00CA12F2" w14:paraId="15EF26DC" w14:textId="77777777" w:rsidTr="00296949">
        <w:tc>
          <w:tcPr>
            <w:tcW w:w="2405" w:type="dxa"/>
          </w:tcPr>
          <w:p w14:paraId="4A595359" w14:textId="77777777" w:rsidR="00CA12F2" w:rsidRPr="00144F1D" w:rsidRDefault="00CA12F2" w:rsidP="00296949">
            <w:r w:rsidRPr="00144F1D">
              <w:t>Kogo dotyczy</w:t>
            </w:r>
          </w:p>
        </w:tc>
        <w:tc>
          <w:tcPr>
            <w:tcW w:w="11198" w:type="dxa"/>
          </w:tcPr>
          <w:p w14:paraId="5FDF55E5" w14:textId="5D58B389" w:rsidR="00CA12F2" w:rsidRDefault="00CA12F2" w:rsidP="00296949">
            <w:r w:rsidRPr="00CA12F2">
              <w:t>Właściciela (współwłaścicieli), użytkownika wieczystego (współużytkownik</w:t>
            </w:r>
            <w:r>
              <w:t>ów</w:t>
            </w:r>
            <w:r w:rsidRPr="00CA12F2">
              <w:t xml:space="preserve"> </w:t>
            </w:r>
            <w:r>
              <w:t>wieczystych</w:t>
            </w:r>
            <w:r w:rsidRPr="00CA12F2">
              <w:t>) nieruchomości</w:t>
            </w:r>
            <w:r w:rsidR="00063A9D">
              <w:t xml:space="preserve"> </w:t>
            </w:r>
            <w:r w:rsidR="00063A9D" w:rsidRPr="00144F1D">
              <w:t>lub też pełnomocnika jednej z ww. osób (na podstawie okazanego pełnomocnictwa).</w:t>
            </w:r>
          </w:p>
        </w:tc>
      </w:tr>
      <w:tr w:rsidR="00CA12F2" w14:paraId="6C8EE058" w14:textId="77777777" w:rsidTr="00296949">
        <w:tc>
          <w:tcPr>
            <w:tcW w:w="2405" w:type="dxa"/>
          </w:tcPr>
          <w:p w14:paraId="12B27248" w14:textId="77777777" w:rsidR="00CA12F2" w:rsidRDefault="00CA12F2" w:rsidP="00296949">
            <w:r w:rsidRPr="00144F1D">
              <w:t>Wymagane dokumenty</w:t>
            </w:r>
          </w:p>
        </w:tc>
        <w:tc>
          <w:tcPr>
            <w:tcW w:w="11198" w:type="dxa"/>
          </w:tcPr>
          <w:p w14:paraId="62D6FC03" w14:textId="0119DA49" w:rsidR="00CA12F2" w:rsidRDefault="004223AF" w:rsidP="00296949">
            <w:r w:rsidRPr="00CA12F2">
              <w:t>Wniosek podpisany przez w/w osoby z załącznikami</w:t>
            </w:r>
            <w:r w:rsidR="007B201C">
              <w:t>.</w:t>
            </w:r>
          </w:p>
        </w:tc>
      </w:tr>
      <w:tr w:rsidR="00CA12F2" w14:paraId="49214C31" w14:textId="77777777" w:rsidTr="00296949">
        <w:tc>
          <w:tcPr>
            <w:tcW w:w="2405" w:type="dxa"/>
          </w:tcPr>
          <w:p w14:paraId="40418754" w14:textId="77777777" w:rsidR="00CA12F2" w:rsidRDefault="00CA12F2" w:rsidP="00296949">
            <w:r w:rsidRPr="00144F1D">
              <w:t>Formularze/wnioski do pobrania</w:t>
            </w:r>
          </w:p>
        </w:tc>
        <w:tc>
          <w:tcPr>
            <w:tcW w:w="11198" w:type="dxa"/>
          </w:tcPr>
          <w:p w14:paraId="2CF188FE" w14:textId="6696DF9B" w:rsidR="00CA12F2" w:rsidRDefault="004223AF" w:rsidP="00296949">
            <w:r w:rsidRPr="004223AF">
              <w:t>Wniosek o wydanie decyzji podziału nieruchomości</w:t>
            </w:r>
          </w:p>
        </w:tc>
      </w:tr>
      <w:tr w:rsidR="00CA12F2" w14:paraId="2C7550E1" w14:textId="77777777" w:rsidTr="00296949">
        <w:tc>
          <w:tcPr>
            <w:tcW w:w="2405" w:type="dxa"/>
          </w:tcPr>
          <w:p w14:paraId="1D74DE6D" w14:textId="77777777" w:rsidR="00CA12F2" w:rsidRDefault="00CA12F2" w:rsidP="00296949">
            <w:r w:rsidRPr="00144F1D">
              <w:t>Opłaty</w:t>
            </w:r>
          </w:p>
        </w:tc>
        <w:tc>
          <w:tcPr>
            <w:tcW w:w="11198" w:type="dxa"/>
          </w:tcPr>
          <w:p w14:paraId="7D58CBE1" w14:textId="4141066E" w:rsidR="00CA12F2" w:rsidRDefault="00063A9D" w:rsidP="00296949">
            <w:r>
              <w:t xml:space="preserve">Wniosek </w:t>
            </w:r>
            <w:r w:rsidR="00BC32FF">
              <w:t xml:space="preserve">o zatwierdzenie podziału nieruchomości </w:t>
            </w:r>
            <w:r>
              <w:t>n</w:t>
            </w:r>
            <w:r w:rsidR="00CA12F2" w:rsidRPr="00CA12F2">
              <w:t>ie podlega opłacie skarbowej.</w:t>
            </w:r>
          </w:p>
          <w:p w14:paraId="269C568F" w14:textId="4CC2668F" w:rsidR="00AA7E34" w:rsidRDefault="00AA7E34" w:rsidP="00AA7E34">
            <w:r>
              <w:t>Pełnomocnik dołącza do akt dokument stwierdzający udzielenie pełnomocnictwa, który podlega opłacie skarbowej w wysokości 17,00 zł. Zwolnienie z opłaty skarbowej przysługuje, jeżeli pełnomocnictwo udzielone jest małżonkowi, wstępnemu (rodzic, dziadek), zstępnemu (dziecko, wnuk, prawnuk) lub rodzeństwu oraz pełnomocnictwo poświadczone notarialnie lub przez uprawniony organ.</w:t>
            </w:r>
          </w:p>
          <w:p w14:paraId="56B17753" w14:textId="6BF41CDD" w:rsidR="00AA7E34" w:rsidRDefault="00AA7E34" w:rsidP="00AA7E34">
            <w:r>
              <w:t>Opłatę uiszcza się gotówką w kasie Urzędu Miasta Zakopane (parter) lub bezgotówkowo na rachunek Urzędu Miasta Zakopane z chwilą złożenia wniosku.</w:t>
            </w:r>
            <w:r w:rsidR="00030D7E">
              <w:t xml:space="preserve"> Dowód wniesienia opłaty należy dołączyć do wniosku.</w:t>
            </w:r>
          </w:p>
          <w:p w14:paraId="5EA9A03E" w14:textId="76EBBD19" w:rsidR="00063A9D" w:rsidRDefault="00AA7E34" w:rsidP="00AA7E34">
            <w:r>
              <w:t xml:space="preserve">Numer rachunku: </w:t>
            </w:r>
            <w:r w:rsidRPr="00530BF5">
              <w:t>76 1240 4748 1111 0000 4882 8147</w:t>
            </w:r>
          </w:p>
        </w:tc>
      </w:tr>
      <w:tr w:rsidR="00CA12F2" w14:paraId="35AC9F1F" w14:textId="77777777" w:rsidTr="00296949">
        <w:tc>
          <w:tcPr>
            <w:tcW w:w="2405" w:type="dxa"/>
          </w:tcPr>
          <w:p w14:paraId="2BAC7FDC" w14:textId="77777777" w:rsidR="00CA12F2" w:rsidRDefault="00CA12F2" w:rsidP="00296949">
            <w:r w:rsidRPr="00144F1D">
              <w:t>Jednostka/osoba odpowiedzialna</w:t>
            </w:r>
          </w:p>
        </w:tc>
        <w:tc>
          <w:tcPr>
            <w:tcW w:w="11198" w:type="dxa"/>
          </w:tcPr>
          <w:p w14:paraId="13B1F6A3" w14:textId="77777777" w:rsidR="00CA12F2" w:rsidRDefault="00CA12F2" w:rsidP="00296949">
            <w:r>
              <w:t>Urząd Miasta Zakopane</w:t>
            </w:r>
          </w:p>
          <w:p w14:paraId="2D4F8B48" w14:textId="77777777" w:rsidR="00CA12F2" w:rsidRDefault="00CA12F2" w:rsidP="00296949">
            <w:r>
              <w:t>34-500 Zakopane, ul. Kościuszki 13</w:t>
            </w:r>
          </w:p>
          <w:p w14:paraId="5F9F083F" w14:textId="77777777" w:rsidR="00CA12F2" w:rsidRDefault="00CA12F2" w:rsidP="00296949">
            <w:r>
              <w:t>Wydział Mienia i Nadzoru Właścicielskiego</w:t>
            </w:r>
          </w:p>
          <w:p w14:paraId="443048AC" w14:textId="77777777" w:rsidR="00CA12F2" w:rsidRDefault="00CA12F2" w:rsidP="00296949">
            <w:r>
              <w:t xml:space="preserve">Podinspektor Anna Czernik Pok. </w:t>
            </w:r>
            <w:proofErr w:type="gramStart"/>
            <w:r>
              <w:t>225,</w:t>
            </w:r>
            <w:proofErr w:type="gramEnd"/>
            <w:r>
              <w:t xml:space="preserve"> I piętro</w:t>
            </w:r>
          </w:p>
          <w:p w14:paraId="68CCA6D0" w14:textId="77777777" w:rsidR="00CA12F2" w:rsidRPr="00CA12F2" w:rsidRDefault="00CA12F2" w:rsidP="00CA12F2">
            <w:pPr>
              <w:numPr>
                <w:ilvl w:val="0"/>
                <w:numId w:val="4"/>
              </w:numPr>
            </w:pPr>
            <w:r w:rsidRPr="00CA12F2">
              <w:t>Poniedziałek 10.00 - 16.00</w:t>
            </w:r>
          </w:p>
          <w:p w14:paraId="0E285654" w14:textId="77777777" w:rsidR="00CA12F2" w:rsidRPr="00CA12F2" w:rsidRDefault="00CA12F2" w:rsidP="00CA12F2">
            <w:pPr>
              <w:numPr>
                <w:ilvl w:val="0"/>
                <w:numId w:val="4"/>
              </w:numPr>
            </w:pPr>
            <w:r w:rsidRPr="00CA12F2">
              <w:t>Wtorek 9.00 - 14.00</w:t>
            </w:r>
          </w:p>
          <w:p w14:paraId="3C84830C" w14:textId="77777777" w:rsidR="00CA12F2" w:rsidRPr="00CA12F2" w:rsidRDefault="00CA12F2" w:rsidP="00CA12F2">
            <w:pPr>
              <w:numPr>
                <w:ilvl w:val="0"/>
                <w:numId w:val="4"/>
              </w:numPr>
            </w:pPr>
            <w:r w:rsidRPr="00CA12F2">
              <w:t>Środa 9.00 - 12.00</w:t>
            </w:r>
          </w:p>
          <w:p w14:paraId="42A4357B" w14:textId="77777777" w:rsidR="00CA12F2" w:rsidRPr="00CA12F2" w:rsidRDefault="00CA12F2" w:rsidP="00CA12F2">
            <w:pPr>
              <w:numPr>
                <w:ilvl w:val="0"/>
                <w:numId w:val="4"/>
              </w:numPr>
            </w:pPr>
            <w:r w:rsidRPr="00CA12F2">
              <w:t>Czwartek 9.00 - 14.00</w:t>
            </w:r>
          </w:p>
          <w:p w14:paraId="730C307A" w14:textId="55C0387F" w:rsidR="00CA12F2" w:rsidRDefault="00CA12F2" w:rsidP="00296949">
            <w:pPr>
              <w:numPr>
                <w:ilvl w:val="0"/>
                <w:numId w:val="4"/>
              </w:numPr>
            </w:pPr>
            <w:r w:rsidRPr="00CA12F2">
              <w:t>Piątek 9.00 - 14.00</w:t>
            </w:r>
          </w:p>
        </w:tc>
      </w:tr>
      <w:tr w:rsidR="00CA12F2" w14:paraId="776E97C6" w14:textId="77777777" w:rsidTr="00296949">
        <w:tc>
          <w:tcPr>
            <w:tcW w:w="2405" w:type="dxa"/>
          </w:tcPr>
          <w:p w14:paraId="3A614A32" w14:textId="77777777" w:rsidR="00CA12F2" w:rsidRDefault="00CA12F2" w:rsidP="00296949">
            <w:r w:rsidRPr="00144F1D">
              <w:t>Miejsce składania dokumentów</w:t>
            </w:r>
          </w:p>
        </w:tc>
        <w:tc>
          <w:tcPr>
            <w:tcW w:w="11198" w:type="dxa"/>
          </w:tcPr>
          <w:p w14:paraId="41682326" w14:textId="77777777" w:rsidR="00CA12F2" w:rsidRDefault="00CA12F2" w:rsidP="00CA12F2">
            <w:pPr>
              <w:pStyle w:val="Akapitzlist"/>
              <w:numPr>
                <w:ilvl w:val="0"/>
                <w:numId w:val="3"/>
              </w:numPr>
            </w:pPr>
            <w:r>
              <w:t>Dziennik podawczy Urzędu Miasta Zakopane, ul. Kościuszki 13, parter</w:t>
            </w:r>
          </w:p>
          <w:p w14:paraId="5319517B" w14:textId="77777777" w:rsidR="00CA12F2" w:rsidRDefault="00CA12F2" w:rsidP="00CA12F2">
            <w:pPr>
              <w:pStyle w:val="Akapitzlist"/>
              <w:numPr>
                <w:ilvl w:val="0"/>
                <w:numId w:val="3"/>
              </w:numPr>
            </w:pPr>
            <w:r>
              <w:t xml:space="preserve">Skrytka </w:t>
            </w:r>
            <w:proofErr w:type="spellStart"/>
            <w:r>
              <w:t>ePUAP</w:t>
            </w:r>
            <w:proofErr w:type="spellEnd"/>
            <w:r>
              <w:t xml:space="preserve">: </w:t>
            </w:r>
            <w:r w:rsidRPr="00E0526E">
              <w:rPr>
                <w:b/>
                <w:bCs/>
              </w:rPr>
              <w:t>/</w:t>
            </w:r>
            <w:proofErr w:type="spellStart"/>
            <w:r w:rsidRPr="00E0526E">
              <w:rPr>
                <w:b/>
                <w:bCs/>
              </w:rPr>
              <w:t>umzakopane</w:t>
            </w:r>
            <w:proofErr w:type="spellEnd"/>
            <w:r w:rsidRPr="00E0526E">
              <w:rPr>
                <w:b/>
                <w:bCs/>
              </w:rPr>
              <w:t>/</w:t>
            </w:r>
            <w:proofErr w:type="spellStart"/>
            <w:r w:rsidRPr="00E0526E">
              <w:rPr>
                <w:b/>
                <w:bCs/>
              </w:rPr>
              <w:t>SkrytkaESP</w:t>
            </w:r>
            <w:proofErr w:type="spellEnd"/>
            <w:r w:rsidRPr="00E0526E">
              <w:t xml:space="preserve"> </w:t>
            </w:r>
          </w:p>
          <w:p w14:paraId="0D57AC03" w14:textId="77777777" w:rsidR="00CA12F2" w:rsidRDefault="00CA12F2" w:rsidP="00CA12F2">
            <w:pPr>
              <w:pStyle w:val="Akapitzlist"/>
              <w:numPr>
                <w:ilvl w:val="0"/>
                <w:numId w:val="3"/>
              </w:numPr>
            </w:pPr>
            <w:r w:rsidRPr="0006092C">
              <w:t>E-Doręczenia</w:t>
            </w:r>
            <w:r>
              <w:t xml:space="preserve">: </w:t>
            </w:r>
            <w:r w:rsidRPr="0006092C">
              <w:rPr>
                <w:b/>
                <w:bCs/>
              </w:rPr>
              <w:t>AE:PL-97057-85350-DHVSG-20</w:t>
            </w:r>
          </w:p>
        </w:tc>
      </w:tr>
      <w:tr w:rsidR="00CA12F2" w14:paraId="08F352FB" w14:textId="77777777" w:rsidTr="00296949">
        <w:tc>
          <w:tcPr>
            <w:tcW w:w="2405" w:type="dxa"/>
          </w:tcPr>
          <w:p w14:paraId="68C178F8" w14:textId="77777777" w:rsidR="00CA12F2" w:rsidRDefault="00CA12F2" w:rsidP="00296949">
            <w:r w:rsidRPr="00144F1D">
              <w:t>Złożenie wniosku elektronicznie</w:t>
            </w:r>
          </w:p>
        </w:tc>
        <w:tc>
          <w:tcPr>
            <w:tcW w:w="11198" w:type="dxa"/>
          </w:tcPr>
          <w:p w14:paraId="614AAD9D" w14:textId="77777777" w:rsidR="00CA12F2" w:rsidRDefault="00CA12F2" w:rsidP="00296949">
            <w:r>
              <w:t>Tak</w:t>
            </w:r>
          </w:p>
        </w:tc>
      </w:tr>
      <w:tr w:rsidR="00CA12F2" w14:paraId="0CA150E8" w14:textId="77777777" w:rsidTr="00296949">
        <w:tc>
          <w:tcPr>
            <w:tcW w:w="2405" w:type="dxa"/>
          </w:tcPr>
          <w:p w14:paraId="79C30CB8" w14:textId="77777777" w:rsidR="00CA12F2" w:rsidRDefault="00CA12F2" w:rsidP="00296949">
            <w:r w:rsidRPr="00144F1D">
              <w:t>Termin załatwienia sprawy</w:t>
            </w:r>
          </w:p>
        </w:tc>
        <w:tc>
          <w:tcPr>
            <w:tcW w:w="11198" w:type="dxa"/>
          </w:tcPr>
          <w:p w14:paraId="4ACBEF1F" w14:textId="726D9599" w:rsidR="00CA12F2" w:rsidRDefault="00CA12F2" w:rsidP="00296949">
            <w:r w:rsidRPr="000B246E">
              <w:t xml:space="preserve">Do </w:t>
            </w:r>
            <w:r>
              <w:t>30</w:t>
            </w:r>
            <w:r w:rsidRPr="000B246E">
              <w:t xml:space="preserve"> dni od dnia złożenia kompletnego wniosku</w:t>
            </w:r>
            <w:r>
              <w:t xml:space="preserve"> </w:t>
            </w:r>
            <w:r w:rsidRPr="00CA12F2">
              <w:t xml:space="preserve">a </w:t>
            </w:r>
            <w:r>
              <w:t>w przypadku sprawy</w:t>
            </w:r>
            <w:r w:rsidRPr="00CA12F2">
              <w:t xml:space="preserve"> szczególnie skomplikowan</w:t>
            </w:r>
            <w:r>
              <w:t>ej</w:t>
            </w:r>
            <w:r w:rsidRPr="00CA12F2">
              <w:t xml:space="preserve"> – nie później niż w ciągu dwóch miesięcy od dnia złożenia kompletnego wniosku</w:t>
            </w:r>
            <w:r w:rsidRPr="000B246E">
              <w:t>.</w:t>
            </w:r>
            <w:r>
              <w:t xml:space="preserve"> </w:t>
            </w:r>
            <w:r w:rsidRPr="00CA12F2">
              <w:t xml:space="preserve">Do terminu nie wlicza się terminów przewidzianych w </w:t>
            </w:r>
            <w:r w:rsidRPr="00CA12F2">
              <w:lastRenderedPageBreak/>
              <w:t>przepisach prawa dla dokonania określonych czynności, okresów zawieszenia postępowania oraz okresów opóźnień spowodowanych z winy strony albo z przyczyn niezależnych od organu.</w:t>
            </w:r>
          </w:p>
        </w:tc>
      </w:tr>
      <w:tr w:rsidR="00CA12F2" w14:paraId="6847E092" w14:textId="77777777" w:rsidTr="00296949">
        <w:tc>
          <w:tcPr>
            <w:tcW w:w="2405" w:type="dxa"/>
          </w:tcPr>
          <w:p w14:paraId="23A98330" w14:textId="77777777" w:rsidR="00CA12F2" w:rsidRDefault="00CA12F2" w:rsidP="00296949">
            <w:r w:rsidRPr="00144F1D">
              <w:lastRenderedPageBreak/>
              <w:t>Podstawa prawna</w:t>
            </w:r>
          </w:p>
        </w:tc>
        <w:tc>
          <w:tcPr>
            <w:tcW w:w="11198" w:type="dxa"/>
          </w:tcPr>
          <w:p w14:paraId="61723823" w14:textId="0B80023C" w:rsidR="002A17B8" w:rsidRDefault="002A17B8" w:rsidP="002A17B8">
            <w:pPr>
              <w:numPr>
                <w:ilvl w:val="0"/>
                <w:numId w:val="1"/>
              </w:numPr>
            </w:pPr>
            <w:r>
              <w:t>Ustawa z dnia 21 sierpnia 1997 r. o gospodarce nieruchomościami</w:t>
            </w:r>
            <w:r w:rsidRPr="002A17B8">
              <w:t xml:space="preserve"> (Dz. U. z 2024 r., poz. 1145 z </w:t>
            </w:r>
            <w:proofErr w:type="spellStart"/>
            <w:r w:rsidRPr="002A17B8">
              <w:t>późn</w:t>
            </w:r>
            <w:proofErr w:type="spellEnd"/>
            <w:r w:rsidRPr="002A17B8">
              <w:t>. zm.)</w:t>
            </w:r>
            <w:r w:rsidR="00ED6B56">
              <w:t>.</w:t>
            </w:r>
          </w:p>
          <w:p w14:paraId="324E21B0" w14:textId="57949FDC" w:rsidR="00ED6B56" w:rsidRDefault="00ED6B56" w:rsidP="002A17B8">
            <w:pPr>
              <w:numPr>
                <w:ilvl w:val="0"/>
                <w:numId w:val="1"/>
              </w:numPr>
            </w:pPr>
            <w:r w:rsidRPr="00ED6B56">
              <w:t>Rozporządzenie Rady Ministrów z dnia 7 grudnia 2004 r. w sprawie sposobu i trybu dokonywania podziałów nieruchomości (Dz. U. z 2004r., nr 268, poz. 2663)</w:t>
            </w:r>
            <w:r>
              <w:t>.</w:t>
            </w:r>
          </w:p>
          <w:p w14:paraId="391A970A" w14:textId="550950EB" w:rsidR="00CA12F2" w:rsidRPr="000B246E" w:rsidRDefault="00CA12F2" w:rsidP="00CA12F2">
            <w:pPr>
              <w:numPr>
                <w:ilvl w:val="0"/>
                <w:numId w:val="1"/>
              </w:numPr>
            </w:pPr>
            <w:r w:rsidRPr="000B246E">
              <w:t>Ustawa z dnia 14 czerwca 1960 r. Kodeks postępowania administracyjnego (Dz. U. z 2024 r., poz. 572</w:t>
            </w:r>
            <w:r>
              <w:t xml:space="preserve"> z </w:t>
            </w:r>
            <w:proofErr w:type="spellStart"/>
            <w:r>
              <w:t>późn</w:t>
            </w:r>
            <w:proofErr w:type="spellEnd"/>
            <w:r>
              <w:t xml:space="preserve">. </w:t>
            </w:r>
            <w:proofErr w:type="spellStart"/>
            <w:r>
              <w:t>zm</w:t>
            </w:r>
            <w:proofErr w:type="spellEnd"/>
            <w:r w:rsidRPr="000B246E">
              <w:t>).</w:t>
            </w:r>
          </w:p>
          <w:p w14:paraId="2E435606" w14:textId="63CCC704" w:rsidR="00CA12F2" w:rsidRDefault="00CA12F2" w:rsidP="002A17B8">
            <w:pPr>
              <w:numPr>
                <w:ilvl w:val="0"/>
                <w:numId w:val="1"/>
              </w:numPr>
            </w:pPr>
            <w:r w:rsidRPr="000B246E">
              <w:t>Ustawa z dnia 16 listopada 2006 r. o opłacie skarbowej (</w:t>
            </w:r>
            <w:r w:rsidR="00421391">
              <w:t xml:space="preserve">j. t. </w:t>
            </w:r>
            <w:r w:rsidRPr="000B246E">
              <w:t>Dz.U. z 20</w:t>
            </w:r>
            <w:r w:rsidR="00421391">
              <w:t>25</w:t>
            </w:r>
            <w:r w:rsidRPr="000B246E">
              <w:t xml:space="preserve"> r., poz. </w:t>
            </w:r>
            <w:r w:rsidR="00421391">
              <w:t>1154</w:t>
            </w:r>
            <w:r w:rsidRPr="000B246E">
              <w:t>).</w:t>
            </w:r>
          </w:p>
        </w:tc>
      </w:tr>
      <w:tr w:rsidR="00CA12F2" w14:paraId="2800FA03" w14:textId="77777777" w:rsidTr="00296949">
        <w:tc>
          <w:tcPr>
            <w:tcW w:w="2405" w:type="dxa"/>
          </w:tcPr>
          <w:p w14:paraId="287F2A51" w14:textId="77777777" w:rsidR="00CA12F2" w:rsidRDefault="00CA12F2" w:rsidP="00296949">
            <w:r w:rsidRPr="00144F1D">
              <w:t>Tryb odwoławczy</w:t>
            </w:r>
          </w:p>
        </w:tc>
        <w:tc>
          <w:tcPr>
            <w:tcW w:w="11198" w:type="dxa"/>
          </w:tcPr>
          <w:p w14:paraId="318720C5" w14:textId="7DFD1F2F" w:rsidR="00CA12F2" w:rsidRDefault="00C222F5" w:rsidP="00296949">
            <w:r w:rsidRPr="00C222F5">
              <w:t xml:space="preserve">Do Samorządowego Kolegium Odwoławczego w Nowym Sączu za pośrednictwem Burmistrza Miasta </w:t>
            </w:r>
            <w:r>
              <w:t>Zakopane</w:t>
            </w:r>
            <w:r w:rsidRPr="00C222F5">
              <w:t xml:space="preserve"> w terminie 14-tu dni od dnia </w:t>
            </w:r>
            <w:r w:rsidR="000170D9">
              <w:t>doręczenia</w:t>
            </w:r>
            <w:r w:rsidRPr="00C222F5">
              <w:t xml:space="preserve"> decyzji.</w:t>
            </w:r>
          </w:p>
        </w:tc>
      </w:tr>
      <w:tr w:rsidR="003201BB" w14:paraId="56A26E48" w14:textId="77777777" w:rsidTr="00296949">
        <w:tc>
          <w:tcPr>
            <w:tcW w:w="2405" w:type="dxa"/>
          </w:tcPr>
          <w:p w14:paraId="488413C4" w14:textId="77777777" w:rsidR="003201BB" w:rsidRPr="00144F1D" w:rsidRDefault="003201BB" w:rsidP="003201BB">
            <w:r w:rsidRPr="00144F1D">
              <w:t>Uwagi i dodatkowe informacje</w:t>
            </w:r>
          </w:p>
        </w:tc>
        <w:tc>
          <w:tcPr>
            <w:tcW w:w="11198" w:type="dxa"/>
          </w:tcPr>
          <w:p w14:paraId="65C49D1E" w14:textId="77777777" w:rsidR="003201BB" w:rsidRDefault="003201BB" w:rsidP="003201BB">
            <w:pPr>
              <w:pStyle w:val="Akapitzlist"/>
              <w:numPr>
                <w:ilvl w:val="0"/>
                <w:numId w:val="2"/>
              </w:numPr>
            </w:pPr>
            <w:r>
              <w:t>Podział nieruchomości polegający na wydzieleniu wchodzących w jej skład działek gruntu, odrębnie oznaczonych w katastrze nieruchomości, nie wymaga wydania decyzji zatwierdzającej podział.</w:t>
            </w:r>
          </w:p>
          <w:p w14:paraId="42CC7D3C" w14:textId="77777777" w:rsidR="003201BB" w:rsidRDefault="003201BB" w:rsidP="003201BB">
            <w:pPr>
              <w:pStyle w:val="Akapitzlist"/>
              <w:numPr>
                <w:ilvl w:val="0"/>
                <w:numId w:val="2"/>
              </w:numPr>
            </w:pPr>
            <w:r>
              <w:t>Ostateczna decyzja zatwierdzająca podział stanowi podstawę do dokonania wpisów w księdze wieczystej oraz w katastrze nieruchomości.</w:t>
            </w:r>
          </w:p>
          <w:p w14:paraId="39ED51DF" w14:textId="77777777" w:rsidR="003201BB" w:rsidRDefault="003201BB" w:rsidP="003201BB">
            <w:pPr>
              <w:pStyle w:val="Akapitzlist"/>
              <w:numPr>
                <w:ilvl w:val="0"/>
                <w:numId w:val="2"/>
              </w:numPr>
            </w:pPr>
            <w:r>
              <w:t>Podziału dokonuje się na wniosek i koszt osoby, która ma w tym interes prawny.</w:t>
            </w:r>
          </w:p>
          <w:p w14:paraId="606AA124" w14:textId="77777777" w:rsidR="003201BB" w:rsidRDefault="003201BB" w:rsidP="003201BB">
            <w:pPr>
              <w:pStyle w:val="Akapitzlist"/>
              <w:numPr>
                <w:ilvl w:val="0"/>
                <w:numId w:val="2"/>
              </w:numPr>
            </w:pPr>
            <w:r>
              <w:t>Jeżeli nieruchomość jest przedmiotem współwłasności lub współużytkowania wieczystego, podziału można dokonać na wniosek wszystkich współwłaścicieli albo współużytkowników wieczystych.</w:t>
            </w:r>
          </w:p>
          <w:p w14:paraId="75B4C6B4" w14:textId="77777777" w:rsidR="003201BB" w:rsidRDefault="003201BB" w:rsidP="003201BB">
            <w:pPr>
              <w:pStyle w:val="Akapitzlist"/>
              <w:numPr>
                <w:ilvl w:val="0"/>
                <w:numId w:val="2"/>
              </w:numPr>
            </w:pPr>
            <w:r>
              <w:t>Podział nieruchomości położonych na obszarach przeznaczonych w planach miejscowych na cele rolne i leśne, a w przypadku braku planu miejscowego wykorzystywanych na cele rolne i leśne, powodujący wydzielenie działki gruntu o powierzchni mniejszej niż 0,3000 ha, jest dopuszczalny pod warunkiem, że działka ta zostanie przeznaczona na powiększenie sąsiedniej nieruchomości lub dokonana zostanie regulacja granic między sąsiadującymi nieruchomościami. W decyzji zatwierdzającej podział nieruchomości określa się termin na przeniesienie praw do wydzielonych działek gruntu, który nie może być dłuższy niż 6 miesięcy od dnia, w którym decyzja zatwierdzająca podział nieruchomości stała się ostateczna. Przepisu nie stosuje się w przypadku podziałów nieruchomości niezależnych od ustaleń planu miejscowego, a w przypadku braku planu – niezależnych od decyzji o warunkach zabudowy i zagospodarowania terenu.</w:t>
            </w:r>
          </w:p>
          <w:p w14:paraId="3337E56C" w14:textId="77777777" w:rsidR="003201BB" w:rsidRDefault="003201BB" w:rsidP="003201BB">
            <w:pPr>
              <w:pStyle w:val="Akapitzlist"/>
              <w:numPr>
                <w:ilvl w:val="0"/>
                <w:numId w:val="2"/>
              </w:numPr>
            </w:pPr>
            <w: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t>przekrycia</w:t>
            </w:r>
            <w:proofErr w:type="spellEnd"/>
            <w: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t>przekrycia</w:t>
            </w:r>
            <w:proofErr w:type="spellEnd"/>
            <w:r>
              <w:t xml:space="preserve"> dachu, wyraźnie dzielące budynek na dwie odrębnie wykorzystywane części.</w:t>
            </w:r>
          </w:p>
          <w:p w14:paraId="026927CC" w14:textId="77777777" w:rsidR="003201BB" w:rsidRDefault="003201BB" w:rsidP="003201BB">
            <w:pPr>
              <w:pStyle w:val="Akapitzlist"/>
              <w:numPr>
                <w:ilvl w:val="0"/>
                <w:numId w:val="2"/>
              </w:numPr>
            </w:pPr>
            <w:r>
              <w:lastRenderedPageBreak/>
              <w:t>Podanie we wniosku numeru telefonu oraz godzin, w których można uzyskać kontakt z wnioskodawcą może skrócić termin załatwienia sprawy.</w:t>
            </w:r>
          </w:p>
          <w:p w14:paraId="17285C22" w14:textId="77777777" w:rsidR="003201BB" w:rsidRDefault="003201BB" w:rsidP="003201BB">
            <w:pPr>
              <w:pStyle w:val="Akapitzlist"/>
              <w:numPr>
                <w:ilvl w:val="0"/>
                <w:numId w:val="2"/>
              </w:numPr>
            </w:pPr>
            <w:r>
              <w:t>W przypadku braku kompletu wymaganych dokumentów lub zaistnienia omyłek w złożonych dokumentach wnioskodawca zostanie wezwany do ich uzupełnienia/korekty.</w:t>
            </w:r>
          </w:p>
          <w:p w14:paraId="45C5F706" w14:textId="02633F7A" w:rsidR="003201BB" w:rsidRDefault="003201BB" w:rsidP="003201BB">
            <w:pPr>
              <w:pStyle w:val="Akapitzlist"/>
              <w:numPr>
                <w:ilvl w:val="0"/>
                <w:numId w:val="2"/>
              </w:numPr>
            </w:pPr>
            <w:r>
              <w:t xml:space="preserve">Wysyłka dokumentu na wskazany adres. Odbioru dokumentu wnioskodawca lub osoba posiadająca pisemne pełnomocnictwo może dokonać osobiście. Pełnomocnik dołącza do akt dokument stwierdzający udzielenie pełnomocnictwa. </w:t>
            </w:r>
          </w:p>
        </w:tc>
      </w:tr>
      <w:tr w:rsidR="003201BB" w14:paraId="67E7483A" w14:textId="77777777" w:rsidTr="00296949">
        <w:tc>
          <w:tcPr>
            <w:tcW w:w="2405" w:type="dxa"/>
          </w:tcPr>
          <w:p w14:paraId="306D967A" w14:textId="77777777" w:rsidR="003201BB" w:rsidRPr="00144F1D" w:rsidRDefault="003201BB" w:rsidP="003201BB"/>
        </w:tc>
        <w:tc>
          <w:tcPr>
            <w:tcW w:w="11198" w:type="dxa"/>
          </w:tcPr>
          <w:p w14:paraId="77328362" w14:textId="77777777" w:rsidR="003201BB" w:rsidRDefault="003201BB" w:rsidP="003201BB"/>
        </w:tc>
      </w:tr>
    </w:tbl>
    <w:p w14:paraId="2ECABC34" w14:textId="77777777" w:rsidR="00CA12F2" w:rsidRDefault="00CA12F2" w:rsidP="00CA12F2"/>
    <w:p w14:paraId="6FB9AD46" w14:textId="77777777" w:rsidR="006577F8" w:rsidRDefault="006577F8"/>
    <w:sectPr w:rsidR="006577F8" w:rsidSect="00CA12F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74DEC"/>
    <w:multiLevelType w:val="multilevel"/>
    <w:tmpl w:val="2F2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3C7A8B"/>
    <w:multiLevelType w:val="hybridMultilevel"/>
    <w:tmpl w:val="9A9AA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BF51BA"/>
    <w:multiLevelType w:val="hybridMultilevel"/>
    <w:tmpl w:val="691A7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C43237"/>
    <w:multiLevelType w:val="multilevel"/>
    <w:tmpl w:val="6136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4A1FD8"/>
    <w:multiLevelType w:val="hybridMultilevel"/>
    <w:tmpl w:val="4A9E1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3036590">
    <w:abstractNumId w:val="3"/>
  </w:num>
  <w:num w:numId="2" w16cid:durableId="391463731">
    <w:abstractNumId w:val="1"/>
  </w:num>
  <w:num w:numId="3" w16cid:durableId="1526334356">
    <w:abstractNumId w:val="4"/>
  </w:num>
  <w:num w:numId="4" w16cid:durableId="652687372">
    <w:abstractNumId w:val="0"/>
  </w:num>
  <w:num w:numId="5" w16cid:durableId="80551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F2"/>
    <w:rsid w:val="000170D9"/>
    <w:rsid w:val="00030D7E"/>
    <w:rsid w:val="00037963"/>
    <w:rsid w:val="00063A9D"/>
    <w:rsid w:val="0022169C"/>
    <w:rsid w:val="00221838"/>
    <w:rsid w:val="002A17B8"/>
    <w:rsid w:val="003201BB"/>
    <w:rsid w:val="003F0ED8"/>
    <w:rsid w:val="00421391"/>
    <w:rsid w:val="004223AF"/>
    <w:rsid w:val="006577F8"/>
    <w:rsid w:val="00720A54"/>
    <w:rsid w:val="007B201C"/>
    <w:rsid w:val="0089264F"/>
    <w:rsid w:val="00962699"/>
    <w:rsid w:val="00A47980"/>
    <w:rsid w:val="00A64C8B"/>
    <w:rsid w:val="00AA7E34"/>
    <w:rsid w:val="00BC32FF"/>
    <w:rsid w:val="00C222F5"/>
    <w:rsid w:val="00CA12F2"/>
    <w:rsid w:val="00ED6B56"/>
    <w:rsid w:val="00F73779"/>
    <w:rsid w:val="00F92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89F"/>
  <w15:chartTrackingRefBased/>
  <w15:docId w15:val="{B5E25917-CBC1-42FB-988D-35466B12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12F2"/>
  </w:style>
  <w:style w:type="paragraph" w:styleId="Nagwek1">
    <w:name w:val="heading 1"/>
    <w:basedOn w:val="Normalny"/>
    <w:next w:val="Normalny"/>
    <w:link w:val="Nagwek1Znak"/>
    <w:uiPriority w:val="9"/>
    <w:qFormat/>
    <w:rsid w:val="00CA1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A1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A12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A12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A12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A12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12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12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12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12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A12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A12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A12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A12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A12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12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12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12F2"/>
    <w:rPr>
      <w:rFonts w:eastAsiaTheme="majorEastAsia" w:cstheme="majorBidi"/>
      <w:color w:val="272727" w:themeColor="text1" w:themeTint="D8"/>
    </w:rPr>
  </w:style>
  <w:style w:type="paragraph" w:styleId="Tytu">
    <w:name w:val="Title"/>
    <w:basedOn w:val="Normalny"/>
    <w:next w:val="Normalny"/>
    <w:link w:val="TytuZnak"/>
    <w:uiPriority w:val="10"/>
    <w:qFormat/>
    <w:rsid w:val="00CA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12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12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12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12F2"/>
    <w:pPr>
      <w:spacing w:before="160"/>
      <w:jc w:val="center"/>
    </w:pPr>
    <w:rPr>
      <w:i/>
      <w:iCs/>
      <w:color w:val="404040" w:themeColor="text1" w:themeTint="BF"/>
    </w:rPr>
  </w:style>
  <w:style w:type="character" w:customStyle="1" w:styleId="CytatZnak">
    <w:name w:val="Cytat Znak"/>
    <w:basedOn w:val="Domylnaczcionkaakapitu"/>
    <w:link w:val="Cytat"/>
    <w:uiPriority w:val="29"/>
    <w:rsid w:val="00CA12F2"/>
    <w:rPr>
      <w:i/>
      <w:iCs/>
      <w:color w:val="404040" w:themeColor="text1" w:themeTint="BF"/>
    </w:rPr>
  </w:style>
  <w:style w:type="paragraph" w:styleId="Akapitzlist">
    <w:name w:val="List Paragraph"/>
    <w:basedOn w:val="Normalny"/>
    <w:uiPriority w:val="34"/>
    <w:qFormat/>
    <w:rsid w:val="00CA12F2"/>
    <w:pPr>
      <w:ind w:left="720"/>
      <w:contextualSpacing/>
    </w:pPr>
  </w:style>
  <w:style w:type="character" w:styleId="Wyrnienieintensywne">
    <w:name w:val="Intense Emphasis"/>
    <w:basedOn w:val="Domylnaczcionkaakapitu"/>
    <w:uiPriority w:val="21"/>
    <w:qFormat/>
    <w:rsid w:val="00CA12F2"/>
    <w:rPr>
      <w:i/>
      <w:iCs/>
      <w:color w:val="2F5496" w:themeColor="accent1" w:themeShade="BF"/>
    </w:rPr>
  </w:style>
  <w:style w:type="paragraph" w:styleId="Cytatintensywny">
    <w:name w:val="Intense Quote"/>
    <w:basedOn w:val="Normalny"/>
    <w:next w:val="Normalny"/>
    <w:link w:val="CytatintensywnyZnak"/>
    <w:uiPriority w:val="30"/>
    <w:qFormat/>
    <w:rsid w:val="00CA1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A12F2"/>
    <w:rPr>
      <w:i/>
      <w:iCs/>
      <w:color w:val="2F5496" w:themeColor="accent1" w:themeShade="BF"/>
    </w:rPr>
  </w:style>
  <w:style w:type="character" w:styleId="Odwoanieintensywne">
    <w:name w:val="Intense Reference"/>
    <w:basedOn w:val="Domylnaczcionkaakapitu"/>
    <w:uiPriority w:val="32"/>
    <w:qFormat/>
    <w:rsid w:val="00CA12F2"/>
    <w:rPr>
      <w:b/>
      <w:bCs/>
      <w:smallCaps/>
      <w:color w:val="2F5496" w:themeColor="accent1" w:themeShade="BF"/>
      <w:spacing w:val="5"/>
    </w:rPr>
  </w:style>
  <w:style w:type="table" w:styleId="Tabela-Siatka">
    <w:name w:val="Table Grid"/>
    <w:basedOn w:val="Standardowy"/>
    <w:uiPriority w:val="39"/>
    <w:rsid w:val="00CA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21391"/>
    <w:rPr>
      <w:color w:val="0563C1" w:themeColor="hyperlink"/>
      <w:u w:val="single"/>
    </w:rPr>
  </w:style>
  <w:style w:type="character" w:styleId="Nierozpoznanawzmianka">
    <w:name w:val="Unresolved Mention"/>
    <w:basedOn w:val="Domylnaczcionkaakapitu"/>
    <w:uiPriority w:val="99"/>
    <w:semiHidden/>
    <w:unhideWhenUsed/>
    <w:rsid w:val="0042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4657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Moskwa</dc:creator>
  <cp:keywords/>
  <dc:description/>
  <cp:lastModifiedBy>Agnieszka Lassak</cp:lastModifiedBy>
  <cp:revision>2</cp:revision>
  <dcterms:created xsi:type="dcterms:W3CDTF">2025-11-18T12:28:00Z</dcterms:created>
  <dcterms:modified xsi:type="dcterms:W3CDTF">2025-11-18T12:28:00Z</dcterms:modified>
</cp:coreProperties>
</file>