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7762F" w14:textId="77777777" w:rsidR="00752D7A" w:rsidRPr="00752D7A" w:rsidRDefault="00752D7A" w:rsidP="00752D7A">
      <w:pPr>
        <w:spacing w:after="0" w:line="240" w:lineRule="auto"/>
        <w:rPr>
          <w:rFonts w:ascii="barlow" w:eastAsia="Times New Roman" w:hAnsi="barlow" w:cs="Segoe UI"/>
          <w:color w:val="212121"/>
          <w:sz w:val="24"/>
          <w:szCs w:val="24"/>
          <w:lang w:eastAsia="pl-PL"/>
        </w:rPr>
      </w:pPr>
      <w:bookmarkStart w:id="0" w:name="_GoBack"/>
      <w:bookmarkEnd w:id="0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 xml:space="preserve">WHO ogłasza stan zagrożenia zdrowia publicznego o znaczeniu międzynarodowym (PHEIC) </w:t>
      </w:r>
    </w:p>
    <w:p w14:paraId="001DCD1C" w14:textId="77777777" w:rsidR="00752D7A" w:rsidRPr="00752D7A" w:rsidRDefault="00752D7A" w:rsidP="00752D7A">
      <w:pPr>
        <w:spacing w:after="0" w:line="240" w:lineRule="auto"/>
        <w:rPr>
          <w:rFonts w:ascii="barlow" w:eastAsia="Times New Roman" w:hAnsi="barlow" w:cs="Segoe UI"/>
          <w:color w:val="212121"/>
          <w:sz w:val="24"/>
          <w:szCs w:val="24"/>
          <w:lang w:eastAsia="pl-PL"/>
        </w:rPr>
      </w:pPr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 xml:space="preserve">30.01.2020 </w:t>
      </w:r>
    </w:p>
    <w:p w14:paraId="12524B18" w14:textId="77777777" w:rsidR="00752D7A" w:rsidRPr="00752D7A" w:rsidRDefault="00752D7A" w:rsidP="00752D7A">
      <w:pPr>
        <w:spacing w:after="0" w:line="240" w:lineRule="auto"/>
        <w:rPr>
          <w:rFonts w:ascii="barlow" w:eastAsia="Times New Roman" w:hAnsi="barlow" w:cs="Segoe UI"/>
          <w:color w:val="212121"/>
          <w:sz w:val="24"/>
          <w:szCs w:val="24"/>
          <w:lang w:eastAsia="pl-PL"/>
        </w:rPr>
      </w:pPr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 xml:space="preserve">Pokaż </w:t>
      </w:r>
      <w:proofErr w:type="spellStart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>tagi</w:t>
      </w:r>
      <w:proofErr w:type="spellEnd"/>
    </w:p>
    <w:p w14:paraId="7A1799BB" w14:textId="77777777" w:rsidR="00752D7A" w:rsidRPr="00752D7A" w:rsidRDefault="00752D7A" w:rsidP="00752D7A">
      <w:pPr>
        <w:shd w:val="clear" w:color="auto" w:fill="FFFFFF"/>
        <w:spacing w:after="0" w:line="240" w:lineRule="auto"/>
        <w:jc w:val="center"/>
        <w:rPr>
          <w:rFonts w:ascii="barlow" w:eastAsia="Times New Roman" w:hAnsi="barlow" w:cs="Segoe UI"/>
          <w:vanish/>
          <w:color w:val="212121"/>
          <w:sz w:val="24"/>
          <w:szCs w:val="24"/>
          <w:lang w:eastAsia="pl-PL"/>
        </w:rPr>
      </w:pPr>
      <w:r w:rsidRPr="00752D7A">
        <w:rPr>
          <w:rFonts w:ascii="barlow" w:eastAsia="Times New Roman" w:hAnsi="barlow" w:cs="Segoe UI"/>
          <w:vanish/>
          <w:color w:val="212121"/>
          <w:sz w:val="24"/>
          <w:szCs w:val="24"/>
          <w:lang w:eastAsia="pl-PL"/>
        </w:rPr>
        <w:t xml:space="preserve">- #zdrowie #zagrożenie #zdrowie publiczne #koronawirus #WHO </w:t>
      </w:r>
    </w:p>
    <w:p w14:paraId="7671841C" w14:textId="77777777" w:rsidR="00752D7A" w:rsidRPr="00752D7A" w:rsidRDefault="00752D7A" w:rsidP="00752D7A">
      <w:pPr>
        <w:spacing w:after="0" w:line="240" w:lineRule="auto"/>
        <w:rPr>
          <w:rFonts w:ascii="Arial" w:eastAsia="Times New Roman" w:hAnsi="Arial" w:cs="Arial"/>
          <w:caps/>
          <w:color w:val="212121"/>
          <w:sz w:val="24"/>
          <w:szCs w:val="24"/>
          <w:lang w:eastAsia="pl-PL"/>
        </w:rPr>
      </w:pPr>
      <w:r w:rsidRPr="00752D7A">
        <w:rPr>
          <w:rFonts w:ascii="Arial" w:eastAsia="Times New Roman" w:hAnsi="Arial" w:cs="Arial"/>
          <w:caps/>
          <w:color w:val="212121"/>
          <w:sz w:val="24"/>
          <w:szCs w:val="24"/>
          <w:lang w:eastAsia="pl-PL"/>
        </w:rPr>
        <w:t xml:space="preserve">Udostępnij: </w:t>
      </w:r>
    </w:p>
    <w:p w14:paraId="48AE335C" w14:textId="77777777" w:rsidR="00752D7A" w:rsidRPr="00752D7A" w:rsidRDefault="00752D7A" w:rsidP="00752D7A">
      <w:pPr>
        <w:spacing w:before="100" w:beforeAutospacing="1" w:after="100" w:afterAutospacing="1" w:line="240" w:lineRule="auto"/>
        <w:ind w:left="-225"/>
        <w:textAlignment w:val="center"/>
        <w:rPr>
          <w:rFonts w:ascii="barlow" w:eastAsia="Times New Roman" w:hAnsi="barlow" w:cs="Segoe UI"/>
          <w:color w:val="212121"/>
          <w:sz w:val="24"/>
          <w:szCs w:val="24"/>
          <w:lang w:eastAsia="pl-PL"/>
        </w:rPr>
      </w:pPr>
    </w:p>
    <w:p w14:paraId="5DF53D4B" w14:textId="64806088" w:rsidR="00752D7A" w:rsidRPr="00752D7A" w:rsidRDefault="00752D7A" w:rsidP="00752D7A">
      <w:pPr>
        <w:spacing w:line="240" w:lineRule="auto"/>
        <w:rPr>
          <w:rFonts w:ascii="barlow" w:eastAsia="Times New Roman" w:hAnsi="barlow" w:cs="Segoe UI"/>
          <w:color w:val="212121"/>
          <w:sz w:val="24"/>
          <w:szCs w:val="24"/>
          <w:lang w:eastAsia="pl-PL"/>
        </w:rPr>
      </w:pPr>
      <w:r w:rsidRPr="00752D7A">
        <w:rPr>
          <w:rFonts w:ascii="barlow" w:eastAsia="Times New Roman" w:hAnsi="barlow" w:cs="Segoe UI"/>
          <w:noProof/>
          <w:color w:val="212121"/>
          <w:sz w:val="24"/>
          <w:szCs w:val="24"/>
          <w:lang w:eastAsia="pl-PL"/>
        </w:rPr>
        <w:drawing>
          <wp:inline distT="0" distB="0" distL="0" distR="0" wp14:anchorId="4D9B2CEE" wp14:editId="53A10D19">
            <wp:extent cx="5760720" cy="2304415"/>
            <wp:effectExtent l="0" t="0" r="0" b="635"/>
            <wp:docPr id="1" name="Obraz 1" descr="WHO ogłasza stan zagrożenia zdrowia publicznego o znaczeniu międzynarod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 ogłasza stan zagrożenia zdrowia publicznego o znaczeniu międzynarodowy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D3D2A" w14:textId="77777777" w:rsidR="00752D7A" w:rsidRPr="00752D7A" w:rsidRDefault="00752D7A" w:rsidP="00752D7A">
      <w:pPr>
        <w:spacing w:after="100" w:afterAutospacing="1" w:line="240" w:lineRule="auto"/>
        <w:outlineLvl w:val="1"/>
        <w:rPr>
          <w:rFonts w:ascii="barlow" w:eastAsia="Times New Roman" w:hAnsi="barlow" w:cs="Segoe UI"/>
          <w:b/>
          <w:bCs/>
          <w:color w:val="212121"/>
          <w:sz w:val="29"/>
          <w:szCs w:val="29"/>
          <w:lang w:eastAsia="pl-PL"/>
        </w:rPr>
      </w:pPr>
      <w:r w:rsidRPr="00752D7A">
        <w:rPr>
          <w:rFonts w:ascii="barlow" w:eastAsia="Times New Roman" w:hAnsi="barlow" w:cs="Segoe UI"/>
          <w:b/>
          <w:bCs/>
          <w:color w:val="212121"/>
          <w:sz w:val="29"/>
          <w:szCs w:val="29"/>
          <w:lang w:eastAsia="pl-PL"/>
        </w:rPr>
        <w:t>WHO ogłasza stan zagrożenia zdrowia publicznego o znaczeniu międzynarodowym</w:t>
      </w:r>
    </w:p>
    <w:p w14:paraId="5C6042B5" w14:textId="77777777" w:rsidR="00752D7A" w:rsidRPr="00752D7A" w:rsidRDefault="00752D7A" w:rsidP="00752D7A">
      <w:pPr>
        <w:spacing w:after="100" w:afterAutospacing="1" w:line="240" w:lineRule="auto"/>
        <w:rPr>
          <w:rFonts w:ascii="barlow" w:eastAsia="Times New Roman" w:hAnsi="barlow" w:cs="Segoe UI"/>
          <w:color w:val="212121"/>
          <w:sz w:val="24"/>
          <w:szCs w:val="24"/>
          <w:lang w:eastAsia="pl-PL"/>
        </w:rPr>
      </w:pPr>
      <w:r w:rsidRPr="00752D7A">
        <w:rPr>
          <w:rFonts w:ascii="barlow" w:eastAsia="Times New Roman" w:hAnsi="barlow" w:cs="Segoe UI"/>
          <w:b/>
          <w:bCs/>
          <w:color w:val="212121"/>
          <w:sz w:val="24"/>
          <w:szCs w:val="24"/>
          <w:lang w:eastAsia="pl-PL"/>
        </w:rPr>
        <w:t>Co to oznacza?</w:t>
      </w:r>
    </w:p>
    <w:p w14:paraId="73EBFA69" w14:textId="77777777" w:rsidR="00752D7A" w:rsidRPr="00752D7A" w:rsidRDefault="00752D7A" w:rsidP="00752D7A">
      <w:pPr>
        <w:spacing w:after="100" w:afterAutospacing="1" w:line="240" w:lineRule="auto"/>
        <w:rPr>
          <w:rFonts w:ascii="barlow" w:eastAsia="Times New Roman" w:hAnsi="barlow" w:cs="Segoe UI"/>
          <w:color w:val="212121"/>
          <w:sz w:val="24"/>
          <w:szCs w:val="24"/>
          <w:lang w:eastAsia="pl-PL"/>
        </w:rPr>
      </w:pPr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 xml:space="preserve">Wystąpienie niektórych zdarzeń dotyczących bezpieczeństwa zdrowia publicznego, mających zasięg międzynarodowy, można określić w świetle Międzynarodowych Przepisów Zdrowotnych WHO (IHR – International </w:t>
      </w:r>
      <w:proofErr w:type="spellStart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>Health</w:t>
      </w:r>
      <w:proofErr w:type="spellEnd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 xml:space="preserve"> </w:t>
      </w:r>
      <w:proofErr w:type="spellStart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>Regulation</w:t>
      </w:r>
      <w:proofErr w:type="spellEnd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 xml:space="preserve">)  jako zagrożenie zdrowia publicznego o znaczeniu międzynarodowym (PHEIC – Public </w:t>
      </w:r>
      <w:proofErr w:type="spellStart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>Health</w:t>
      </w:r>
      <w:proofErr w:type="spellEnd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 xml:space="preserve"> </w:t>
      </w:r>
      <w:proofErr w:type="spellStart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>Emergency</w:t>
      </w:r>
      <w:proofErr w:type="spellEnd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 xml:space="preserve"> of International </w:t>
      </w:r>
      <w:proofErr w:type="spellStart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>Concern</w:t>
      </w:r>
      <w:proofErr w:type="spellEnd"/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>).</w:t>
      </w:r>
    </w:p>
    <w:p w14:paraId="3EF2741F" w14:textId="77777777" w:rsidR="00752D7A" w:rsidRPr="00752D7A" w:rsidRDefault="00752D7A" w:rsidP="00752D7A">
      <w:pPr>
        <w:spacing w:after="100" w:afterAutospacing="1" w:line="240" w:lineRule="auto"/>
        <w:rPr>
          <w:rFonts w:ascii="barlow" w:eastAsia="Times New Roman" w:hAnsi="barlow" w:cs="Segoe UI"/>
          <w:color w:val="212121"/>
          <w:sz w:val="24"/>
          <w:szCs w:val="24"/>
          <w:lang w:eastAsia="pl-PL"/>
        </w:rPr>
      </w:pPr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>Termin „Zagrożenie zdrowia publicznego o znaczeniu międzynarodowym” został zdefiniowany w IHR (2005) jako „wydarzenie nadzwyczajne, które zostało określone zgodnie z niniejszymi przepisami:</w:t>
      </w:r>
    </w:p>
    <w:p w14:paraId="765DAB57" w14:textId="77777777" w:rsidR="00752D7A" w:rsidRPr="00752D7A" w:rsidRDefault="00752D7A" w:rsidP="00752D7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barlow" w:eastAsia="Times New Roman" w:hAnsi="barlow" w:cs="Segoe UI"/>
          <w:color w:val="212121"/>
          <w:sz w:val="24"/>
          <w:szCs w:val="24"/>
          <w:lang w:eastAsia="pl-PL"/>
        </w:rPr>
      </w:pPr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>stanowi zagrożenie dla zdrowia publicznego w innych państwach poprzez międzynarodowe rozprzestrzenianie się chorób;</w:t>
      </w:r>
    </w:p>
    <w:p w14:paraId="02831FE5" w14:textId="77777777" w:rsidR="00752D7A" w:rsidRPr="00752D7A" w:rsidRDefault="00752D7A" w:rsidP="00752D7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barlow" w:eastAsia="Times New Roman" w:hAnsi="barlow" w:cs="Segoe UI"/>
          <w:color w:val="212121"/>
          <w:sz w:val="24"/>
          <w:szCs w:val="24"/>
          <w:lang w:eastAsia="pl-PL"/>
        </w:rPr>
      </w:pPr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>potencjalnie wymaga skoordynowanej reakcji międzynarodowej.</w:t>
      </w:r>
    </w:p>
    <w:p w14:paraId="7B6B4E42" w14:textId="77777777" w:rsidR="00752D7A" w:rsidRPr="00752D7A" w:rsidRDefault="00752D7A" w:rsidP="00752D7A">
      <w:pPr>
        <w:spacing w:after="100" w:afterAutospacing="1" w:line="240" w:lineRule="auto"/>
        <w:rPr>
          <w:rFonts w:ascii="barlow" w:eastAsia="Times New Roman" w:hAnsi="barlow" w:cs="Segoe UI"/>
          <w:color w:val="212121"/>
          <w:sz w:val="24"/>
          <w:szCs w:val="24"/>
          <w:lang w:eastAsia="pl-PL"/>
        </w:rPr>
      </w:pPr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t xml:space="preserve">Odpowiedzialność za ustalenie, czy dane wydarzenie należy do tej kategorii, spoczywa na Dyrektorze Generalnym WHO i wymaga zwołania komitetu ekspertów – Komitetu Nadzwyczajnego IHR. Komitet ten doradza Dyrektorowi Generalnemu w sprawie zalecanych środków, które należy ogłaszać w sytuacjach nadzwyczajnych, zwanych zaleceniami tymczasowymi. Tymczasowe zalecenia obejmują środki zaradcze, które mają zostać wdrożone przez Państwo – Stronę, którego PHEIC dotyczy lub przez inne Państwa – Strony, w celu zapobiegania lub ograniczenia międzynarodowego rozprzestrzeniania się choroby </w:t>
      </w:r>
      <w:r w:rsidRPr="00752D7A">
        <w:rPr>
          <w:rFonts w:ascii="barlow" w:eastAsia="Times New Roman" w:hAnsi="barlow" w:cs="Segoe UI"/>
          <w:color w:val="212121"/>
          <w:sz w:val="24"/>
          <w:szCs w:val="24"/>
          <w:lang w:eastAsia="pl-PL"/>
        </w:rPr>
        <w:lastRenderedPageBreak/>
        <w:t>powodującej zagrożenie i uniknięcia niepotrzebnej ingerencji (o ile to możliwe) w pasażerski i towarowy ruch międzynarodowy.</w:t>
      </w:r>
    </w:p>
    <w:p w14:paraId="6C2CA237" w14:textId="77777777" w:rsidR="00036015" w:rsidRPr="00752D7A" w:rsidRDefault="00036015" w:rsidP="00752D7A"/>
    <w:sectPr w:rsidR="00036015" w:rsidRPr="0075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4427B"/>
    <w:multiLevelType w:val="multilevel"/>
    <w:tmpl w:val="3026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17D30"/>
    <w:multiLevelType w:val="multilevel"/>
    <w:tmpl w:val="BE9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C0B76"/>
    <w:multiLevelType w:val="multilevel"/>
    <w:tmpl w:val="D1BC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7A"/>
    <w:rsid w:val="00036015"/>
    <w:rsid w:val="001C5AAF"/>
    <w:rsid w:val="007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482A"/>
  <w15:chartTrackingRefBased/>
  <w15:docId w15:val="{FE9E9C68-F5D0-4124-A21D-F9E9F3A6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52D7A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52D7A"/>
    <w:rPr>
      <w:rFonts w:ascii="Times New Roman" w:eastAsia="Times New Roman" w:hAnsi="Times New Roman" w:cs="Times New Roman"/>
      <w:b/>
      <w:bCs/>
      <w:sz w:val="29"/>
      <w:szCs w:val="29"/>
      <w:lang w:eastAsia="pl-PL"/>
    </w:rPr>
  </w:style>
  <w:style w:type="character" w:styleId="Pogrubienie">
    <w:name w:val="Strong"/>
    <w:basedOn w:val="Domylnaczcionkaakapitu"/>
    <w:uiPriority w:val="22"/>
    <w:qFormat/>
    <w:rsid w:val="00752D7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2D7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ypen2">
    <w:name w:val="hypen2"/>
    <w:basedOn w:val="Domylnaczcionkaakapitu"/>
    <w:rsid w:val="00752D7A"/>
    <w:rPr>
      <w:strike w:val="0"/>
      <w:dstrike w:val="0"/>
      <w:vanish/>
      <w:webHidden w:val="0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2513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74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4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149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806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2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2020-02-28T08:21:00Z</dcterms:created>
  <dcterms:modified xsi:type="dcterms:W3CDTF">2020-02-28T08:21:00Z</dcterms:modified>
</cp:coreProperties>
</file>